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66C" w:rsidRPr="00986AAE" w:rsidRDefault="00F6166C" w:rsidP="00F6166C">
      <w:pPr>
        <w:keepNext/>
        <w:ind w:left="0" w:firstLine="708"/>
        <w:rPr>
          <w:rFonts w:ascii="Times New Roman" w:hAnsi="Times New Roman"/>
          <w:b/>
          <w:sz w:val="26"/>
          <w:szCs w:val="26"/>
        </w:rPr>
      </w:pPr>
      <w:r w:rsidRPr="00986AAE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F6166C" w:rsidRPr="00986AAE" w:rsidRDefault="00F6166C" w:rsidP="00F6166C">
      <w:pPr>
        <w:keepNext/>
        <w:ind w:left="0" w:firstLine="708"/>
        <w:rPr>
          <w:rFonts w:ascii="Times New Roman" w:hAnsi="Times New Roman"/>
          <w:b/>
          <w:sz w:val="26"/>
          <w:szCs w:val="26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134"/>
        <w:gridCol w:w="1134"/>
      </w:tblGrid>
      <w:tr w:rsidR="00F6166C" w:rsidRPr="00A20FEE" w:rsidTr="00145592">
        <w:trPr>
          <w:trHeight w:val="294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F6166C" w:rsidRPr="00A20FEE" w:rsidRDefault="00F6166C" w:rsidP="00145592">
            <w:pPr>
              <w:keepNext/>
              <w:ind w:left="0" w:firstLine="34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66C" w:rsidRPr="00A20FEE" w:rsidRDefault="00F6166C" w:rsidP="00145592">
            <w:pPr>
              <w:keepNext/>
              <w:ind w:left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6166C" w:rsidRPr="00A20FEE" w:rsidRDefault="00F6166C" w:rsidP="00145592">
            <w:pPr>
              <w:keepNext/>
              <w:ind w:left="283" w:hanging="28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КОДЫ</w:t>
            </w:r>
          </w:p>
        </w:tc>
      </w:tr>
      <w:tr w:rsidR="00F6166C" w:rsidRPr="00A20FEE" w:rsidTr="00145592">
        <w:trPr>
          <w:trHeight w:val="135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F6166C" w:rsidRPr="00A20FEE" w:rsidRDefault="00F6166C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66C" w:rsidRPr="00986AAE" w:rsidRDefault="00F6166C" w:rsidP="00145592">
            <w:pPr>
              <w:keepNext/>
              <w:ind w:left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86AAE">
              <w:rPr>
                <w:rFonts w:ascii="Times New Roman" w:hAnsi="Times New Roman"/>
                <w:sz w:val="18"/>
                <w:szCs w:val="18"/>
              </w:rPr>
              <w:t>Форма по ОКУД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6166C" w:rsidRPr="00A20FEE" w:rsidRDefault="00F6166C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20FEE">
              <w:rPr>
                <w:rFonts w:ascii="Times New Roman" w:hAnsi="Times New Roman"/>
                <w:sz w:val="20"/>
                <w:szCs w:val="20"/>
              </w:rPr>
              <w:t>0503</w:t>
            </w:r>
            <w:r w:rsidR="00813F9A">
              <w:rPr>
                <w:rFonts w:ascii="Times New Roman" w:hAnsi="Times New Roman"/>
                <w:sz w:val="20"/>
                <w:szCs w:val="20"/>
              </w:rPr>
              <w:t>1</w:t>
            </w:r>
            <w:r w:rsidRPr="00A20FE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F6166C" w:rsidRPr="00A20FEE" w:rsidTr="00145592">
        <w:trPr>
          <w:trHeight w:val="302"/>
        </w:trPr>
        <w:tc>
          <w:tcPr>
            <w:tcW w:w="77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6166C" w:rsidRDefault="00F6166C" w:rsidP="00145592">
            <w:pPr>
              <w:keepNext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F6166C" w:rsidRPr="00C32625" w:rsidRDefault="00F6166C" w:rsidP="00774070">
            <w:pPr>
              <w:keepNext/>
              <w:ind w:left="0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986AAE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986A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6AA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C32625">
              <w:rPr>
                <w:rFonts w:ascii="Times New Roman" w:hAnsi="Times New Roman"/>
                <w:sz w:val="26"/>
                <w:szCs w:val="26"/>
                <w:u w:val="single"/>
              </w:rPr>
              <w:t>на 1 января 20</w:t>
            </w:r>
            <w:r w:rsidR="00355EA1">
              <w:rPr>
                <w:rFonts w:ascii="Times New Roman" w:hAnsi="Times New Roman"/>
                <w:sz w:val="26"/>
                <w:szCs w:val="26"/>
                <w:u w:val="single"/>
              </w:rPr>
              <w:t>2</w:t>
            </w:r>
            <w:r w:rsidR="00774070">
              <w:rPr>
                <w:rFonts w:ascii="Times New Roman" w:hAnsi="Times New Roman"/>
                <w:sz w:val="26"/>
                <w:szCs w:val="26"/>
                <w:u w:val="single"/>
              </w:rPr>
              <w:t>1</w:t>
            </w:r>
            <w:r w:rsidRPr="00C32625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166C" w:rsidRPr="00986AAE" w:rsidRDefault="00F6166C" w:rsidP="00145592">
            <w:pPr>
              <w:keepNext/>
              <w:ind w:left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F6166C" w:rsidRPr="00986AAE" w:rsidRDefault="00F6166C" w:rsidP="00145592">
            <w:pPr>
              <w:keepNext/>
              <w:ind w:left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86AAE"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6166C" w:rsidRPr="00A20FEE" w:rsidRDefault="00774070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F6166C" w:rsidRPr="00A20FEE" w:rsidTr="00145592">
        <w:trPr>
          <w:trHeight w:val="248"/>
        </w:trPr>
        <w:tc>
          <w:tcPr>
            <w:tcW w:w="77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6166C" w:rsidRPr="00A20FEE" w:rsidRDefault="00F6166C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166C" w:rsidRPr="00986AAE" w:rsidRDefault="00F6166C" w:rsidP="00145592">
            <w:pPr>
              <w:keepNext/>
              <w:ind w:left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86AAE">
              <w:rPr>
                <w:rFonts w:ascii="Times New Roman" w:hAnsi="Times New Roman"/>
                <w:sz w:val="18"/>
                <w:szCs w:val="18"/>
              </w:rPr>
              <w:t>по ОКПО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6166C" w:rsidRPr="00A20FEE" w:rsidRDefault="00F6166C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20FEE">
              <w:rPr>
                <w:rFonts w:ascii="Times New Roman" w:hAnsi="Times New Roman"/>
                <w:sz w:val="20"/>
                <w:szCs w:val="20"/>
              </w:rPr>
              <w:t>02297091</w:t>
            </w:r>
          </w:p>
        </w:tc>
      </w:tr>
      <w:tr w:rsidR="00F6166C" w:rsidRPr="00A20FEE" w:rsidTr="00145592">
        <w:trPr>
          <w:trHeight w:val="440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F6166C" w:rsidRPr="00C32625" w:rsidRDefault="00F6166C" w:rsidP="00145592">
            <w:pPr>
              <w:keepNext/>
              <w:ind w:left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</w:p>
          <w:p w:rsidR="00813F9A" w:rsidRDefault="00813F9A" w:rsidP="0087088E">
            <w:pPr>
              <w:keepNext/>
              <w:spacing w:line="276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813F9A">
              <w:rPr>
                <w:rFonts w:ascii="Times New Roman" w:hAnsi="Times New Roman"/>
                <w:sz w:val="18"/>
                <w:szCs w:val="18"/>
              </w:rPr>
              <w:t>Главный распорядитель, распорядитель,</w:t>
            </w:r>
          </w:p>
          <w:p w:rsidR="00813F9A" w:rsidRDefault="00813F9A" w:rsidP="0087088E">
            <w:pPr>
              <w:keepNext/>
              <w:spacing w:line="276" w:lineRule="auto"/>
              <w:ind w:left="0"/>
              <w:jc w:val="left"/>
            </w:pPr>
            <w:proofErr w:type="gramStart"/>
            <w:r w:rsidRPr="00813F9A">
              <w:rPr>
                <w:rFonts w:ascii="Times New Roman" w:hAnsi="Times New Roman"/>
                <w:sz w:val="18"/>
                <w:szCs w:val="18"/>
              </w:rPr>
              <w:t>получатель</w:t>
            </w:r>
            <w:proofErr w:type="gramEnd"/>
            <w:r w:rsidRPr="00813F9A">
              <w:rPr>
                <w:rFonts w:ascii="Times New Roman" w:hAnsi="Times New Roman"/>
                <w:sz w:val="18"/>
                <w:szCs w:val="18"/>
              </w:rPr>
              <w:t xml:space="preserve"> бюджетных средств, главный администратор,</w:t>
            </w:r>
            <w:r>
              <w:t xml:space="preserve"> </w:t>
            </w:r>
          </w:p>
          <w:p w:rsidR="00813F9A" w:rsidRDefault="00813F9A" w:rsidP="0087088E">
            <w:pPr>
              <w:keepNext/>
              <w:spacing w:line="276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13F9A">
              <w:rPr>
                <w:rFonts w:ascii="Times New Roman" w:hAnsi="Times New Roman"/>
                <w:sz w:val="18"/>
                <w:szCs w:val="18"/>
              </w:rPr>
              <w:t>главный</w:t>
            </w:r>
            <w:proofErr w:type="gramEnd"/>
            <w:r w:rsidRPr="00813F9A">
              <w:rPr>
                <w:rFonts w:ascii="Times New Roman" w:hAnsi="Times New Roman"/>
                <w:sz w:val="18"/>
                <w:szCs w:val="18"/>
              </w:rPr>
              <w:t xml:space="preserve"> администратор, администратор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813F9A">
              <w:rPr>
                <w:rFonts w:ascii="Times New Roman" w:hAnsi="Times New Roman"/>
                <w:sz w:val="18"/>
                <w:szCs w:val="18"/>
              </w:rPr>
              <w:t>администратор доходов бюджета,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13F9A" w:rsidRDefault="00813F9A" w:rsidP="0087088E">
            <w:pPr>
              <w:keepNext/>
              <w:spacing w:line="276" w:lineRule="auto"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813F9A">
              <w:rPr>
                <w:rFonts w:ascii="Times New Roman" w:hAnsi="Times New Roman"/>
                <w:sz w:val="18"/>
                <w:szCs w:val="18"/>
              </w:rPr>
              <w:t>источников</w:t>
            </w:r>
            <w:proofErr w:type="gramEnd"/>
            <w:r w:rsidRPr="00813F9A">
              <w:rPr>
                <w:rFonts w:ascii="Times New Roman" w:hAnsi="Times New Roman"/>
                <w:sz w:val="18"/>
                <w:szCs w:val="18"/>
              </w:rPr>
              <w:t xml:space="preserve"> финансировани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я </w:t>
            </w:r>
          </w:p>
          <w:p w:rsidR="00F6166C" w:rsidRPr="00A20FEE" w:rsidRDefault="00813F9A" w:rsidP="0087088E">
            <w:pPr>
              <w:keepNext/>
              <w:spacing w:line="276" w:lineRule="auto"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13F9A">
              <w:rPr>
                <w:rFonts w:ascii="Times New Roman" w:hAnsi="Times New Roman"/>
                <w:sz w:val="18"/>
                <w:szCs w:val="18"/>
              </w:rPr>
              <w:t>дефицита</w:t>
            </w:r>
            <w:proofErr w:type="gramEnd"/>
            <w:r w:rsidRPr="00813F9A">
              <w:rPr>
                <w:rFonts w:ascii="Times New Roman" w:hAnsi="Times New Roman"/>
                <w:sz w:val="18"/>
                <w:szCs w:val="18"/>
              </w:rPr>
              <w:t xml:space="preserve"> бюджета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Pr="00813F9A">
              <w:rPr>
                <w:rFonts w:ascii="Times New Roman" w:hAnsi="Times New Roman"/>
                <w:sz w:val="26"/>
                <w:szCs w:val="26"/>
                <w:u w:val="single"/>
              </w:rPr>
              <w:t>Департамент финансов Ханты-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F6166C" w:rsidRPr="00C32625">
              <w:rPr>
                <w:rFonts w:ascii="Times New Roman" w:hAnsi="Times New Roman"/>
                <w:sz w:val="26"/>
                <w:szCs w:val="26"/>
                <w:u w:val="single"/>
              </w:rPr>
              <w:t xml:space="preserve">Мансийского автономного округа </w:t>
            </w:r>
            <w:r w:rsidR="008A6114">
              <w:rPr>
                <w:rFonts w:ascii="Times New Roman" w:hAnsi="Times New Roman"/>
                <w:sz w:val="26"/>
                <w:szCs w:val="26"/>
                <w:u w:val="single"/>
              </w:rPr>
              <w:t>–</w:t>
            </w:r>
            <w:r w:rsidR="00F6166C" w:rsidRPr="00C32625">
              <w:rPr>
                <w:rFonts w:ascii="Times New Roman" w:hAnsi="Times New Roman"/>
                <w:sz w:val="26"/>
                <w:szCs w:val="26"/>
                <w:u w:val="single"/>
              </w:rPr>
              <w:t xml:space="preserve"> Югры</w:t>
            </w:r>
            <w:r w:rsidR="008A611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F6166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166C" w:rsidRPr="00986AAE" w:rsidRDefault="00F6166C" w:rsidP="00145592">
            <w:pPr>
              <w:keepNext/>
              <w:ind w:left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86AAE">
              <w:rPr>
                <w:rFonts w:ascii="Times New Roman" w:hAnsi="Times New Roman"/>
                <w:sz w:val="18"/>
                <w:szCs w:val="18"/>
              </w:rPr>
              <w:t>Глава по БК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6166C" w:rsidRPr="00A20FEE" w:rsidRDefault="00F6166C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20FEE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F6166C" w:rsidRPr="00C32625" w:rsidTr="00145592">
        <w:trPr>
          <w:trHeight w:val="409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F6166C" w:rsidRDefault="00F6166C" w:rsidP="00145592">
            <w:pPr>
              <w:keepNext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146A53" w:rsidRDefault="00F6166C" w:rsidP="00145592">
            <w:pPr>
              <w:keepNext/>
              <w:ind w:left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86AAE">
              <w:rPr>
                <w:rFonts w:ascii="Times New Roman" w:hAnsi="Times New Roman"/>
                <w:sz w:val="18"/>
                <w:szCs w:val="18"/>
              </w:rPr>
              <w:t>Наименование бюджета</w:t>
            </w:r>
          </w:p>
          <w:p w:rsidR="00F6166C" w:rsidRPr="00986AAE" w:rsidRDefault="00146A53" w:rsidP="00145592">
            <w:pPr>
              <w:keepNext/>
              <w:ind w:left="0"/>
              <w:jc w:val="left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( публично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-правового образования) </w:t>
            </w:r>
            <w:r w:rsidR="00F616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166C" w:rsidRPr="00C32625">
              <w:rPr>
                <w:rFonts w:ascii="Times New Roman" w:hAnsi="Times New Roman"/>
                <w:sz w:val="26"/>
                <w:szCs w:val="26"/>
                <w:u w:val="single"/>
              </w:rPr>
              <w:t xml:space="preserve">Ханты-Мансийский автономный округ </w:t>
            </w:r>
            <w:r w:rsidR="008A6114">
              <w:rPr>
                <w:rFonts w:ascii="Times New Roman" w:hAnsi="Times New Roman"/>
                <w:sz w:val="26"/>
                <w:szCs w:val="26"/>
                <w:u w:val="single"/>
              </w:rPr>
              <w:t>–</w:t>
            </w:r>
            <w:r w:rsidR="00F6166C" w:rsidRPr="00C32625">
              <w:rPr>
                <w:rFonts w:ascii="Times New Roman" w:hAnsi="Times New Roman"/>
                <w:sz w:val="26"/>
                <w:szCs w:val="26"/>
                <w:u w:val="single"/>
              </w:rPr>
              <w:t xml:space="preserve"> Югра</w:t>
            </w:r>
            <w:r w:rsidR="008A611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166C" w:rsidRPr="00C32625" w:rsidRDefault="00F6166C" w:rsidP="00145592">
            <w:pPr>
              <w:keepNext/>
              <w:ind w:left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32625">
              <w:rPr>
                <w:rFonts w:ascii="Times New Roman" w:hAnsi="Times New Roman"/>
                <w:sz w:val="18"/>
                <w:szCs w:val="18"/>
              </w:rPr>
              <w:t xml:space="preserve">по ОКТМО 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6166C" w:rsidRPr="00C32625" w:rsidRDefault="00F6166C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32625">
              <w:rPr>
                <w:rFonts w:ascii="Times New Roman" w:hAnsi="Times New Roman"/>
                <w:sz w:val="20"/>
                <w:szCs w:val="20"/>
              </w:rPr>
              <w:t>71800000</w:t>
            </w:r>
          </w:p>
        </w:tc>
      </w:tr>
      <w:tr w:rsidR="00F6166C" w:rsidRPr="00A20FEE" w:rsidTr="00145592">
        <w:trPr>
          <w:trHeight w:val="288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F6166C" w:rsidRPr="00A20FEE" w:rsidRDefault="00F6166C" w:rsidP="00145592">
            <w:pPr>
              <w:keepNext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20FEE">
              <w:rPr>
                <w:rFonts w:ascii="Times New Roman" w:hAnsi="Times New Roman"/>
                <w:sz w:val="20"/>
                <w:szCs w:val="20"/>
              </w:rPr>
              <w:t xml:space="preserve">Периодичность: </w:t>
            </w:r>
            <w:r w:rsidR="00146A53" w:rsidRPr="00146A53">
              <w:rPr>
                <w:rFonts w:ascii="Times New Roman" w:hAnsi="Times New Roman"/>
                <w:sz w:val="24"/>
                <w:szCs w:val="24"/>
              </w:rPr>
              <w:t>месячная</w:t>
            </w:r>
            <w:r w:rsidR="00146A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602C5">
              <w:rPr>
                <w:rFonts w:ascii="Times New Roman" w:hAnsi="Times New Roman"/>
                <w:sz w:val="24"/>
                <w:szCs w:val="24"/>
              </w:rPr>
              <w:t xml:space="preserve">квартальная, </w:t>
            </w:r>
            <w:r w:rsidRPr="002602C5">
              <w:rPr>
                <w:rFonts w:ascii="Times New Roman" w:hAnsi="Times New Roman"/>
                <w:b/>
                <w:sz w:val="24"/>
                <w:szCs w:val="24"/>
              </w:rPr>
              <w:t>годовая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166C" w:rsidRPr="00986AAE" w:rsidRDefault="00F6166C" w:rsidP="00145592">
            <w:pPr>
              <w:keepNext/>
              <w:ind w:left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6166C" w:rsidRPr="00A20FEE" w:rsidRDefault="00F6166C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20FEE">
              <w:rPr>
                <w:rFonts w:ascii="Times New Roman" w:hAnsi="Times New Roman"/>
                <w:sz w:val="20"/>
                <w:szCs w:val="20"/>
              </w:rPr>
              <w:t>годовая</w:t>
            </w:r>
          </w:p>
        </w:tc>
      </w:tr>
      <w:tr w:rsidR="00F6166C" w:rsidRPr="00A20FEE" w:rsidTr="00145592">
        <w:trPr>
          <w:trHeight w:val="288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F6166C" w:rsidRPr="00A20FEE" w:rsidRDefault="00F6166C" w:rsidP="00145592">
            <w:pPr>
              <w:keepNext/>
              <w:ind w:left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20FEE">
              <w:rPr>
                <w:rFonts w:ascii="Times New Roman" w:hAnsi="Times New Roman"/>
                <w:sz w:val="20"/>
                <w:szCs w:val="20"/>
              </w:rPr>
              <w:t xml:space="preserve">Единица измерения: </w:t>
            </w:r>
            <w:r w:rsidRPr="002602C5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166C" w:rsidRPr="00986AAE" w:rsidRDefault="00F6166C" w:rsidP="00145592">
            <w:pPr>
              <w:keepNext/>
              <w:ind w:left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86AAE">
              <w:rPr>
                <w:rFonts w:ascii="Times New Roman" w:hAnsi="Times New Roman"/>
                <w:sz w:val="18"/>
                <w:szCs w:val="18"/>
              </w:rPr>
              <w:t>по ОКЕИ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bottom"/>
          </w:tcPr>
          <w:p w:rsidR="00F6166C" w:rsidRPr="00A20FEE" w:rsidRDefault="00F6166C" w:rsidP="00145592">
            <w:pPr>
              <w:keepNext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A20FEE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</w:tr>
    </w:tbl>
    <w:p w:rsidR="00F6166C" w:rsidRDefault="00F6166C" w:rsidP="00F6166C">
      <w:pPr>
        <w:keepNext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6166C" w:rsidRDefault="00F6166C" w:rsidP="00F6166C">
      <w:pPr>
        <w:keepNext/>
        <w:ind w:left="0" w:firstLine="567"/>
        <w:rPr>
          <w:rFonts w:ascii="Times New Roman" w:hAnsi="Times New Roman"/>
          <w:b/>
          <w:sz w:val="24"/>
          <w:szCs w:val="24"/>
        </w:rPr>
      </w:pPr>
      <w:bookmarkStart w:id="1" w:name="_Toc288590620"/>
      <w:bookmarkStart w:id="2" w:name="_Toc318191719"/>
    </w:p>
    <w:p w:rsidR="00F6166C" w:rsidRDefault="00F6166C" w:rsidP="00F6166C">
      <w:pPr>
        <w:keepNext/>
        <w:ind w:left="0" w:firstLine="567"/>
        <w:rPr>
          <w:rFonts w:ascii="Times New Roman" w:hAnsi="Times New Roman"/>
          <w:b/>
          <w:sz w:val="24"/>
          <w:szCs w:val="24"/>
        </w:rPr>
      </w:pPr>
    </w:p>
    <w:bookmarkEnd w:id="1"/>
    <w:bookmarkEnd w:id="2"/>
    <w:p w:rsidR="00F6166C" w:rsidRPr="00C32625" w:rsidRDefault="00F6166C" w:rsidP="00F6166C">
      <w:pPr>
        <w:keepNext/>
        <w:ind w:left="0" w:firstLine="567"/>
        <w:rPr>
          <w:rFonts w:ascii="Times New Roman" w:hAnsi="Times New Roman"/>
          <w:b/>
          <w:sz w:val="26"/>
          <w:szCs w:val="26"/>
        </w:rPr>
      </w:pPr>
      <w:r w:rsidRPr="00C32625">
        <w:rPr>
          <w:rFonts w:ascii="Times New Roman" w:hAnsi="Times New Roman"/>
          <w:b/>
          <w:sz w:val="26"/>
          <w:szCs w:val="26"/>
        </w:rPr>
        <w:t xml:space="preserve">РАЗДЕЛ </w:t>
      </w:r>
      <w:r w:rsidRPr="00C32625">
        <w:rPr>
          <w:rFonts w:ascii="Times New Roman" w:hAnsi="Times New Roman"/>
          <w:b/>
          <w:sz w:val="26"/>
          <w:szCs w:val="26"/>
          <w:lang w:val="en-US"/>
        </w:rPr>
        <w:t>I</w:t>
      </w:r>
      <w:r w:rsidRPr="00C32625">
        <w:rPr>
          <w:rFonts w:ascii="Times New Roman" w:hAnsi="Times New Roman"/>
          <w:b/>
          <w:sz w:val="26"/>
          <w:szCs w:val="26"/>
        </w:rPr>
        <w:t xml:space="preserve"> «ОРГАНИЗАЦИОННАЯ СТРУКТУРА СУБЪЕКТА </w:t>
      </w:r>
    </w:p>
    <w:p w:rsidR="00F6166C" w:rsidRDefault="00F6166C" w:rsidP="00F6166C">
      <w:pPr>
        <w:keepNext/>
        <w:ind w:left="0" w:firstLine="567"/>
        <w:rPr>
          <w:rFonts w:ascii="Times New Roman" w:hAnsi="Times New Roman"/>
          <w:b/>
          <w:sz w:val="26"/>
          <w:szCs w:val="26"/>
        </w:rPr>
      </w:pPr>
      <w:r w:rsidRPr="00C32625">
        <w:rPr>
          <w:rFonts w:ascii="Times New Roman" w:hAnsi="Times New Roman"/>
          <w:b/>
          <w:sz w:val="26"/>
          <w:szCs w:val="26"/>
        </w:rPr>
        <w:t>БЮДЖЕТНОЙ ОТЧЕТНОСТИ»</w:t>
      </w:r>
    </w:p>
    <w:p w:rsidR="00CA6E64" w:rsidRDefault="00CA6E64" w:rsidP="00F6166C">
      <w:pPr>
        <w:keepNext/>
        <w:ind w:left="0" w:firstLine="567"/>
        <w:rPr>
          <w:rFonts w:ascii="Times New Roman" w:hAnsi="Times New Roman"/>
          <w:b/>
          <w:sz w:val="26"/>
          <w:szCs w:val="26"/>
        </w:rPr>
      </w:pPr>
    </w:p>
    <w:p w:rsidR="00CA6E64" w:rsidRDefault="00CA6E64" w:rsidP="00CA6E64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Полное наименование субъекта бюджетной отчетности – Департамента финансов Ханты-Мансийского автономного округа – Югры (далее – Департамент). Сокращенное наименование – Депфин Югры. Изменение наименования в отчетном периоде не производилось.</w:t>
      </w:r>
    </w:p>
    <w:p w:rsidR="00CA6E64" w:rsidRDefault="00CA6E64" w:rsidP="00CA6E64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Место нахождения Департамента: 628006, Ханты-Мансийский автономный округ – Югра, г.</w:t>
      </w:r>
      <w:r w:rsidR="001E79CE">
        <w:rPr>
          <w:sz w:val="26"/>
          <w:szCs w:val="26"/>
        </w:rPr>
        <w:t xml:space="preserve"> </w:t>
      </w:r>
      <w:r>
        <w:rPr>
          <w:sz w:val="26"/>
          <w:szCs w:val="26"/>
        </w:rPr>
        <w:t>Ханты-Мансийск, ул.</w:t>
      </w:r>
      <w:r w:rsidR="001E79CE">
        <w:rPr>
          <w:sz w:val="26"/>
          <w:szCs w:val="26"/>
        </w:rPr>
        <w:t xml:space="preserve"> </w:t>
      </w:r>
      <w:r>
        <w:rPr>
          <w:sz w:val="26"/>
          <w:szCs w:val="26"/>
        </w:rPr>
        <w:t>Мира, дом 5.</w:t>
      </w:r>
    </w:p>
    <w:p w:rsidR="00CA6E64" w:rsidRDefault="00CA6E64" w:rsidP="00CA6E64">
      <w:pPr>
        <w:pStyle w:val="a3"/>
        <w:ind w:firstLine="709"/>
        <w:rPr>
          <w:sz w:val="26"/>
          <w:szCs w:val="26"/>
        </w:rPr>
      </w:pPr>
      <w:r w:rsidRPr="00A67F63">
        <w:rPr>
          <w:sz w:val="26"/>
          <w:szCs w:val="26"/>
        </w:rPr>
        <w:t>Департамент является исполнительным органом государственной власти Ханты-Мансийского автономного округа - Югры (далее также - автономный округ), осуществляющим функции по реализации единой государственной политики автономного округа и нормативному правовому регулированию в бюджетной сфере и в сфере налогов и сборов.</w:t>
      </w:r>
    </w:p>
    <w:p w:rsidR="00CA6E64" w:rsidRDefault="00CA6E64" w:rsidP="00CA6E64">
      <w:pPr>
        <w:pStyle w:val="a3"/>
        <w:ind w:firstLine="709"/>
        <w:rPr>
          <w:sz w:val="26"/>
          <w:szCs w:val="26"/>
        </w:rPr>
      </w:pPr>
      <w:r w:rsidRPr="00A67F63">
        <w:rPr>
          <w:sz w:val="26"/>
          <w:szCs w:val="26"/>
        </w:rPr>
        <w:t xml:space="preserve">Департамент является финансовым органом автономного округа со всеми полномочиями, установленными </w:t>
      </w:r>
      <w:hyperlink r:id="rId7" w:history="1">
        <w:r w:rsidRPr="00A67F63">
          <w:rPr>
            <w:sz w:val="26"/>
            <w:szCs w:val="26"/>
          </w:rPr>
          <w:t>Бюджетным</w:t>
        </w:r>
      </w:hyperlink>
      <w:r w:rsidRPr="00A67F63">
        <w:rPr>
          <w:sz w:val="26"/>
          <w:szCs w:val="26"/>
        </w:rPr>
        <w:t xml:space="preserve"> и </w:t>
      </w:r>
      <w:hyperlink r:id="rId8" w:history="1">
        <w:r w:rsidRPr="00A67F63">
          <w:rPr>
            <w:sz w:val="26"/>
            <w:szCs w:val="26"/>
          </w:rPr>
          <w:t>Налоговым</w:t>
        </w:r>
      </w:hyperlink>
      <w:r w:rsidRPr="00A67F63">
        <w:rPr>
          <w:sz w:val="26"/>
          <w:szCs w:val="26"/>
        </w:rPr>
        <w:t xml:space="preserve"> кодексами Российской Федерации и (или) принимаемыми в соответствии с ними нормативными правовыми актами, регулирующими бюджетные и налоговые правоотношения.</w:t>
      </w:r>
    </w:p>
    <w:p w:rsidR="00CA6E64" w:rsidRDefault="00CA6E64" w:rsidP="00CA6E64">
      <w:pPr>
        <w:pStyle w:val="a3"/>
        <w:ind w:firstLine="709"/>
        <w:rPr>
          <w:sz w:val="26"/>
          <w:szCs w:val="26"/>
        </w:rPr>
      </w:pPr>
      <w:r w:rsidRPr="00CA6E64">
        <w:rPr>
          <w:sz w:val="26"/>
          <w:szCs w:val="26"/>
        </w:rPr>
        <w:lastRenderedPageBreak/>
        <w:t xml:space="preserve">На основании и во исполнение законов, иных нормативных правовых актов Российской Федерации и автономного округа Департамент определяет порядок составления и представления бюджетной отчетности бюджета </w:t>
      </w:r>
      <w:r w:rsidR="00304BAC">
        <w:rPr>
          <w:sz w:val="26"/>
          <w:szCs w:val="26"/>
        </w:rPr>
        <w:t>Ханты-Мансийского автономного округа – Югры (далее – бюджет автономного округа)</w:t>
      </w:r>
      <w:r w:rsidRPr="00CA6E64">
        <w:rPr>
          <w:sz w:val="26"/>
          <w:szCs w:val="26"/>
        </w:rPr>
        <w:t xml:space="preserve"> и территориальн</w:t>
      </w:r>
      <w:r w:rsidR="00304BAC">
        <w:rPr>
          <w:sz w:val="26"/>
          <w:szCs w:val="26"/>
        </w:rPr>
        <w:t>ого государственного внебюджетного фонда</w:t>
      </w:r>
      <w:r>
        <w:rPr>
          <w:sz w:val="26"/>
          <w:szCs w:val="26"/>
        </w:rPr>
        <w:t>.</w:t>
      </w:r>
    </w:p>
    <w:p w:rsidR="0053109A" w:rsidRPr="00CA6E64" w:rsidRDefault="0053109A" w:rsidP="0053109A">
      <w:pPr>
        <w:pStyle w:val="a3"/>
        <w:ind w:firstLine="709"/>
        <w:rPr>
          <w:sz w:val="26"/>
          <w:szCs w:val="26"/>
        </w:rPr>
      </w:pPr>
      <w:bookmarkStart w:id="3" w:name="_Toc318191720"/>
      <w:r w:rsidRPr="0053109A">
        <w:rPr>
          <w:sz w:val="26"/>
          <w:szCs w:val="26"/>
        </w:rPr>
        <w:t>Б</w:t>
      </w:r>
      <w:r w:rsidR="00DF2499" w:rsidRPr="0053109A">
        <w:rPr>
          <w:sz w:val="26"/>
          <w:szCs w:val="26"/>
        </w:rPr>
        <w:t xml:space="preserve">юджетная </w:t>
      </w:r>
      <w:r w:rsidR="00CA6E64" w:rsidRPr="0053109A">
        <w:rPr>
          <w:sz w:val="26"/>
          <w:szCs w:val="26"/>
        </w:rPr>
        <w:t>отчетность</w:t>
      </w:r>
      <w:r w:rsidR="00DF2499" w:rsidRPr="0053109A">
        <w:rPr>
          <w:sz w:val="26"/>
          <w:szCs w:val="26"/>
        </w:rPr>
        <w:t xml:space="preserve"> бюджета </w:t>
      </w:r>
      <w:r w:rsidR="00F6166C" w:rsidRPr="0053109A">
        <w:rPr>
          <w:sz w:val="26"/>
          <w:szCs w:val="26"/>
        </w:rPr>
        <w:t xml:space="preserve">автономного округа </w:t>
      </w:r>
      <w:r w:rsidRPr="0053109A">
        <w:rPr>
          <w:sz w:val="26"/>
          <w:szCs w:val="26"/>
        </w:rPr>
        <w:t>включает отчетность 37 главных распорядителей средств бюджета автономного округа, из которых 36 являются одновременно и главными администраторами доходов бюджета автономного округа, 12 главных администраторов доходов бюджета автономного округа, являющихся федеральными органами исполнительной власти,</w:t>
      </w:r>
      <w:r>
        <w:rPr>
          <w:sz w:val="26"/>
          <w:szCs w:val="26"/>
        </w:rPr>
        <w:t xml:space="preserve"> а также </w:t>
      </w:r>
      <w:r w:rsidRPr="00CA6E64">
        <w:rPr>
          <w:sz w:val="26"/>
          <w:szCs w:val="26"/>
        </w:rPr>
        <w:t>бюджет территориального фонда обязательного медицинского страхования</w:t>
      </w:r>
      <w:r>
        <w:rPr>
          <w:sz w:val="26"/>
          <w:szCs w:val="26"/>
        </w:rPr>
        <w:t xml:space="preserve"> Ханты-Мансийского автономного округа - Югры</w:t>
      </w:r>
      <w:r w:rsidRPr="00CA6E64">
        <w:rPr>
          <w:sz w:val="26"/>
          <w:szCs w:val="26"/>
        </w:rPr>
        <w:t>.</w:t>
      </w:r>
    </w:p>
    <w:p w:rsidR="00254CB7" w:rsidRPr="0053109A" w:rsidRDefault="00254CB7" w:rsidP="00254CB7">
      <w:pPr>
        <w:spacing w:line="360" w:lineRule="auto"/>
        <w:ind w:left="0" w:right="-114" w:firstLine="567"/>
        <w:jc w:val="both"/>
        <w:rPr>
          <w:rFonts w:ascii="Times New Roman" w:hAnsi="Times New Roman"/>
          <w:sz w:val="26"/>
          <w:szCs w:val="26"/>
        </w:rPr>
      </w:pPr>
      <w:r w:rsidRPr="00254CB7">
        <w:rPr>
          <w:rFonts w:ascii="Times New Roman" w:hAnsi="Times New Roman"/>
          <w:sz w:val="26"/>
          <w:szCs w:val="26"/>
        </w:rPr>
        <w:t>Все главные администраторы доходов бюджета автономного округа исполняют свои полномочия в соответствии со статьей 160.1 Бюджетного кодекса Российской Федерации.</w:t>
      </w:r>
    </w:p>
    <w:p w:rsidR="0053109A" w:rsidRPr="0053109A" w:rsidRDefault="0053109A" w:rsidP="0053109A">
      <w:pPr>
        <w:spacing w:line="360" w:lineRule="auto"/>
        <w:ind w:left="0" w:right="-114" w:firstLine="567"/>
        <w:jc w:val="both"/>
        <w:rPr>
          <w:rFonts w:ascii="Times New Roman" w:hAnsi="Times New Roman"/>
          <w:sz w:val="26"/>
          <w:szCs w:val="26"/>
        </w:rPr>
      </w:pPr>
      <w:r w:rsidRPr="0053109A">
        <w:rPr>
          <w:rFonts w:ascii="Times New Roman" w:hAnsi="Times New Roman"/>
          <w:sz w:val="26"/>
          <w:szCs w:val="26"/>
        </w:rPr>
        <w:t xml:space="preserve">Главных администраторов источников внутреннего финансирования дефицита бюджета автономного округа, осуществляющих операции с источниками финансирования дефицита бюджета автономного округа, насчитывается </w:t>
      </w:r>
      <w:r w:rsidRPr="0072728A">
        <w:rPr>
          <w:rFonts w:ascii="Times New Roman" w:hAnsi="Times New Roman"/>
          <w:sz w:val="26"/>
          <w:szCs w:val="26"/>
        </w:rPr>
        <w:t>3.</w:t>
      </w:r>
    </w:p>
    <w:p w:rsidR="00F84666" w:rsidRPr="0053109A" w:rsidRDefault="00F84666" w:rsidP="00F6166C">
      <w:pPr>
        <w:pStyle w:val="a3"/>
        <w:ind w:firstLine="709"/>
        <w:rPr>
          <w:color w:val="000000" w:themeColor="text1"/>
          <w:sz w:val="26"/>
          <w:szCs w:val="26"/>
        </w:rPr>
      </w:pPr>
      <w:r w:rsidRPr="0053109A">
        <w:rPr>
          <w:color w:val="000000" w:themeColor="text1"/>
          <w:sz w:val="26"/>
          <w:szCs w:val="26"/>
        </w:rPr>
        <w:t xml:space="preserve">Количество казенных учреждений </w:t>
      </w:r>
      <w:r w:rsidR="00DF2499" w:rsidRPr="0053109A">
        <w:rPr>
          <w:color w:val="000000" w:themeColor="text1"/>
          <w:sz w:val="26"/>
          <w:szCs w:val="26"/>
        </w:rPr>
        <w:t xml:space="preserve">на начало 2020 года составляло </w:t>
      </w:r>
      <w:r w:rsidR="0053109A" w:rsidRPr="0053109A">
        <w:rPr>
          <w:color w:val="000000" w:themeColor="text1"/>
          <w:sz w:val="26"/>
          <w:szCs w:val="26"/>
        </w:rPr>
        <w:t>72</w:t>
      </w:r>
      <w:r w:rsidR="00DF2499" w:rsidRPr="0053109A">
        <w:rPr>
          <w:color w:val="000000" w:themeColor="text1"/>
          <w:sz w:val="26"/>
          <w:szCs w:val="26"/>
        </w:rPr>
        <w:t xml:space="preserve">. В течении 2020 года их количество </w:t>
      </w:r>
      <w:r w:rsidRPr="0053109A">
        <w:rPr>
          <w:color w:val="000000" w:themeColor="text1"/>
          <w:sz w:val="26"/>
          <w:szCs w:val="26"/>
        </w:rPr>
        <w:t>у</w:t>
      </w:r>
      <w:r w:rsidR="0053109A" w:rsidRPr="0053109A">
        <w:rPr>
          <w:color w:val="000000" w:themeColor="text1"/>
          <w:sz w:val="26"/>
          <w:szCs w:val="26"/>
        </w:rPr>
        <w:t xml:space="preserve">величилось на </w:t>
      </w:r>
      <w:r w:rsidRPr="0053109A">
        <w:rPr>
          <w:color w:val="000000" w:themeColor="text1"/>
          <w:sz w:val="26"/>
          <w:szCs w:val="26"/>
        </w:rPr>
        <w:t>1 и</w:t>
      </w:r>
      <w:r w:rsidR="00CA6E64" w:rsidRPr="0053109A">
        <w:rPr>
          <w:color w:val="000000" w:themeColor="text1"/>
          <w:sz w:val="26"/>
          <w:szCs w:val="26"/>
        </w:rPr>
        <w:t xml:space="preserve"> на конец года составило </w:t>
      </w:r>
      <w:r w:rsidR="0053109A" w:rsidRPr="0053109A">
        <w:rPr>
          <w:color w:val="000000" w:themeColor="text1"/>
          <w:sz w:val="26"/>
          <w:szCs w:val="26"/>
        </w:rPr>
        <w:t>73</w:t>
      </w:r>
      <w:r w:rsidR="00CA6E64" w:rsidRPr="0053109A">
        <w:rPr>
          <w:color w:val="000000" w:themeColor="text1"/>
          <w:sz w:val="26"/>
          <w:szCs w:val="26"/>
        </w:rPr>
        <w:t>.</w:t>
      </w:r>
      <w:r w:rsidRPr="0053109A">
        <w:rPr>
          <w:color w:val="000000" w:themeColor="text1"/>
          <w:sz w:val="26"/>
          <w:szCs w:val="26"/>
        </w:rPr>
        <w:t xml:space="preserve"> </w:t>
      </w:r>
      <w:r w:rsidR="00CA6E64" w:rsidRPr="0053109A">
        <w:rPr>
          <w:color w:val="000000" w:themeColor="text1"/>
          <w:sz w:val="26"/>
          <w:szCs w:val="26"/>
        </w:rPr>
        <w:t>И</w:t>
      </w:r>
      <w:r w:rsidRPr="0053109A">
        <w:rPr>
          <w:color w:val="000000" w:themeColor="text1"/>
          <w:sz w:val="26"/>
          <w:szCs w:val="26"/>
        </w:rPr>
        <w:t xml:space="preserve">зменения произошли в результате </w:t>
      </w:r>
      <w:r w:rsidR="0053109A" w:rsidRPr="0053109A">
        <w:rPr>
          <w:color w:val="000000" w:themeColor="text1"/>
          <w:sz w:val="26"/>
          <w:szCs w:val="26"/>
        </w:rPr>
        <w:t xml:space="preserve">перевода бюджетного </w:t>
      </w:r>
      <w:r w:rsidR="00CA6E64" w:rsidRPr="0053109A">
        <w:rPr>
          <w:color w:val="000000" w:themeColor="text1"/>
          <w:sz w:val="26"/>
          <w:szCs w:val="26"/>
        </w:rPr>
        <w:t>учреждени</w:t>
      </w:r>
      <w:r w:rsidR="0053109A" w:rsidRPr="0053109A">
        <w:rPr>
          <w:color w:val="000000" w:themeColor="text1"/>
          <w:sz w:val="26"/>
          <w:szCs w:val="26"/>
        </w:rPr>
        <w:t>я в казенное.</w:t>
      </w:r>
    </w:p>
    <w:p w:rsidR="00774070" w:rsidRPr="0053109A" w:rsidRDefault="00774070" w:rsidP="00F6166C">
      <w:pPr>
        <w:pStyle w:val="a3"/>
        <w:ind w:firstLine="709"/>
        <w:rPr>
          <w:color w:val="000000" w:themeColor="text1"/>
          <w:sz w:val="26"/>
          <w:szCs w:val="26"/>
        </w:rPr>
      </w:pPr>
    </w:p>
    <w:p w:rsidR="00F6166C" w:rsidRDefault="00F6166C" w:rsidP="00F6166C">
      <w:pPr>
        <w:pStyle w:val="a4"/>
        <w:widowControl w:val="0"/>
        <w:ind w:right="142" w:firstLine="709"/>
        <w:outlineLvl w:val="0"/>
        <w:rPr>
          <w:sz w:val="26"/>
          <w:szCs w:val="26"/>
        </w:rPr>
      </w:pPr>
      <w:r w:rsidRPr="00D1739E">
        <w:rPr>
          <w:sz w:val="26"/>
          <w:szCs w:val="26"/>
        </w:rPr>
        <w:t xml:space="preserve">РАЗДЕЛ </w:t>
      </w:r>
      <w:r w:rsidRPr="00D1739E">
        <w:rPr>
          <w:sz w:val="26"/>
          <w:szCs w:val="26"/>
          <w:lang w:val="en-US"/>
        </w:rPr>
        <w:t>I</w:t>
      </w:r>
      <w:r w:rsidRPr="00D1739E">
        <w:rPr>
          <w:sz w:val="26"/>
          <w:szCs w:val="26"/>
        </w:rPr>
        <w:t>I «РЕЗУЛЬТАТЫ ДЕЯТЕЛЬНОСТИ СУБЪЕКТА                         БЮДЖЕТНОЙ ОТЧЕТНОСТИ»</w:t>
      </w:r>
      <w:bookmarkEnd w:id="3"/>
    </w:p>
    <w:p w:rsidR="001E79CE" w:rsidRPr="00D1739E" w:rsidRDefault="001E79CE" w:rsidP="00F6166C">
      <w:pPr>
        <w:pStyle w:val="a4"/>
        <w:widowControl w:val="0"/>
        <w:ind w:right="142" w:firstLine="709"/>
        <w:outlineLvl w:val="0"/>
        <w:rPr>
          <w:sz w:val="26"/>
          <w:szCs w:val="26"/>
        </w:rPr>
      </w:pPr>
    </w:p>
    <w:p w:rsidR="007C3F43" w:rsidRPr="007C3F43" w:rsidRDefault="007C3F43" w:rsidP="007C3F43">
      <w:pPr>
        <w:pStyle w:val="a3"/>
        <w:ind w:firstLine="709"/>
        <w:rPr>
          <w:sz w:val="26"/>
          <w:szCs w:val="26"/>
        </w:rPr>
      </w:pPr>
      <w:r w:rsidRPr="007C3F43">
        <w:rPr>
          <w:sz w:val="26"/>
          <w:szCs w:val="26"/>
        </w:rPr>
        <w:t>Исполнение бюджета автономного округа</w:t>
      </w:r>
      <w:r w:rsidR="00CA6E64">
        <w:rPr>
          <w:sz w:val="26"/>
          <w:szCs w:val="26"/>
        </w:rPr>
        <w:t xml:space="preserve"> </w:t>
      </w:r>
      <w:r w:rsidRPr="007C3F43">
        <w:rPr>
          <w:sz w:val="26"/>
          <w:szCs w:val="26"/>
        </w:rPr>
        <w:t xml:space="preserve">в 2020 году осуществлялось в условиях серьёзных вызовов, в первую очередь, связанных с распространением новой коронавирусной инфекции, продолжением действия санкций в отношении российских компаний, сохраняющихся низких ценах на нефть. </w:t>
      </w:r>
    </w:p>
    <w:p w:rsidR="00825CEA" w:rsidRPr="00825CEA" w:rsidRDefault="007C3F43" w:rsidP="00EE05E6">
      <w:pPr>
        <w:pStyle w:val="a3"/>
        <w:ind w:firstLine="709"/>
        <w:rPr>
          <w:sz w:val="26"/>
          <w:szCs w:val="26"/>
        </w:rPr>
      </w:pPr>
      <w:r w:rsidRPr="007C3F43">
        <w:rPr>
          <w:sz w:val="26"/>
          <w:szCs w:val="26"/>
        </w:rPr>
        <w:t xml:space="preserve">Данная ситуация потребовала оперативных, ранее не применявшихся мер. </w:t>
      </w:r>
    </w:p>
    <w:p w:rsidR="00825CEA" w:rsidRPr="007C3F43" w:rsidRDefault="00242CC9" w:rsidP="00825CEA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>Была с</w:t>
      </w:r>
      <w:r w:rsidR="00825CEA" w:rsidRPr="00825CEA">
        <w:rPr>
          <w:sz w:val="26"/>
          <w:szCs w:val="26"/>
        </w:rPr>
        <w:t xml:space="preserve">корректирована реализуемая в </w:t>
      </w:r>
      <w:r w:rsidR="00567915">
        <w:rPr>
          <w:sz w:val="26"/>
          <w:szCs w:val="26"/>
        </w:rPr>
        <w:t>Ханты-Мансийском автоно</w:t>
      </w:r>
      <w:r w:rsidR="001C51BA">
        <w:rPr>
          <w:sz w:val="26"/>
          <w:szCs w:val="26"/>
        </w:rPr>
        <w:t xml:space="preserve">мном округе – Югре </w:t>
      </w:r>
      <w:r w:rsidR="001C51BA" w:rsidRPr="00825CEA">
        <w:rPr>
          <w:sz w:val="26"/>
          <w:szCs w:val="26"/>
        </w:rPr>
        <w:t>бюджетная</w:t>
      </w:r>
      <w:r w:rsidR="00825CEA" w:rsidRPr="00825CEA">
        <w:rPr>
          <w:sz w:val="26"/>
          <w:szCs w:val="26"/>
        </w:rPr>
        <w:t xml:space="preserve"> политика в области расходов.</w:t>
      </w:r>
    </w:p>
    <w:p w:rsidR="007C3F43" w:rsidRPr="007C3F43" w:rsidRDefault="007C3F43" w:rsidP="007C3F43">
      <w:pPr>
        <w:pStyle w:val="a3"/>
        <w:ind w:firstLine="709"/>
        <w:rPr>
          <w:sz w:val="26"/>
          <w:szCs w:val="26"/>
        </w:rPr>
      </w:pPr>
      <w:r w:rsidRPr="007C3F43">
        <w:rPr>
          <w:sz w:val="26"/>
          <w:szCs w:val="26"/>
        </w:rPr>
        <w:lastRenderedPageBreak/>
        <w:t xml:space="preserve">Принимались оперативные решения по приоритизации расходов </w:t>
      </w:r>
      <w:r w:rsidR="00025FED">
        <w:rPr>
          <w:sz w:val="26"/>
          <w:szCs w:val="26"/>
        </w:rPr>
        <w:t>бюджета</w:t>
      </w:r>
      <w:r w:rsidR="001C51BA">
        <w:rPr>
          <w:sz w:val="26"/>
          <w:szCs w:val="26"/>
        </w:rPr>
        <w:t xml:space="preserve"> автономного округа</w:t>
      </w:r>
      <w:r w:rsidRPr="007C3F43">
        <w:rPr>
          <w:sz w:val="26"/>
          <w:szCs w:val="26"/>
        </w:rPr>
        <w:t xml:space="preserve">, </w:t>
      </w:r>
      <w:r w:rsidR="00025FED">
        <w:rPr>
          <w:sz w:val="26"/>
          <w:szCs w:val="26"/>
        </w:rPr>
        <w:t xml:space="preserve">дополнительно выделялись средства </w:t>
      </w:r>
      <w:r w:rsidRPr="007C3F43">
        <w:rPr>
          <w:sz w:val="26"/>
          <w:szCs w:val="26"/>
        </w:rPr>
        <w:t>на мероприятия, связанные с предупреждением распространения новой коронавирусной инфекции, а также предотвращением влияния ухудшения экономической ситуации на развитие отраслей экономики.</w:t>
      </w:r>
    </w:p>
    <w:p w:rsidR="007C3F43" w:rsidRPr="007C3F43" w:rsidRDefault="007C3F43" w:rsidP="007C3F43">
      <w:pPr>
        <w:pStyle w:val="a3"/>
        <w:ind w:firstLine="709"/>
        <w:rPr>
          <w:sz w:val="26"/>
          <w:szCs w:val="26"/>
        </w:rPr>
      </w:pPr>
      <w:r w:rsidRPr="007C3F43">
        <w:rPr>
          <w:sz w:val="26"/>
          <w:szCs w:val="26"/>
        </w:rPr>
        <w:t xml:space="preserve">Значительные бюджетные ресурсы были перенаправлены в сферу здравоохранения, на оказание мер социальной поддержки наименее защищенным категориям граждан, на поддержку субъектов малого и среднего предпринимательства, некоммерческих организаций и социальных предприятий, а также мер дополнительной финансовой поддержки муниципальных образований автономного округа. </w:t>
      </w:r>
      <w:r w:rsidR="00FC2B49">
        <w:rPr>
          <w:sz w:val="26"/>
          <w:szCs w:val="26"/>
        </w:rPr>
        <w:t xml:space="preserve">Исполнение расходов </w:t>
      </w:r>
      <w:r w:rsidR="000F31B8" w:rsidRPr="000F31B8">
        <w:rPr>
          <w:sz w:val="26"/>
          <w:szCs w:val="26"/>
        </w:rPr>
        <w:t>на мероприятия, связанные с уcтранением и распространением новой коронавирусной инфекции (COVID-19)</w:t>
      </w:r>
      <w:r w:rsidR="000F31B8">
        <w:rPr>
          <w:sz w:val="26"/>
          <w:szCs w:val="26"/>
        </w:rPr>
        <w:t xml:space="preserve"> в 2020 году составило 12 864</w:t>
      </w:r>
      <w:r w:rsidR="0072728A">
        <w:rPr>
          <w:sz w:val="26"/>
          <w:szCs w:val="26"/>
        </w:rPr>
        <w:t> 016 683 рубля</w:t>
      </w:r>
      <w:r w:rsidRPr="000F31B8">
        <w:rPr>
          <w:sz w:val="26"/>
          <w:szCs w:val="26"/>
        </w:rPr>
        <w:t xml:space="preserve">, в том числе за счет средств федерального бюджета </w:t>
      </w:r>
      <w:r w:rsidR="000F31B8">
        <w:rPr>
          <w:sz w:val="26"/>
          <w:szCs w:val="26"/>
        </w:rPr>
        <w:t>4 834 742 500</w:t>
      </w:r>
      <w:r w:rsidRPr="000F31B8">
        <w:rPr>
          <w:sz w:val="26"/>
          <w:szCs w:val="26"/>
        </w:rPr>
        <w:t xml:space="preserve"> рублей.</w:t>
      </w:r>
    </w:p>
    <w:p w:rsidR="007C3F43" w:rsidRDefault="007C3F43" w:rsidP="007C3F43">
      <w:pPr>
        <w:pStyle w:val="a3"/>
        <w:ind w:firstLine="709"/>
        <w:rPr>
          <w:sz w:val="26"/>
          <w:szCs w:val="26"/>
        </w:rPr>
      </w:pPr>
      <w:r w:rsidRPr="007C3F43">
        <w:rPr>
          <w:sz w:val="26"/>
          <w:szCs w:val="26"/>
        </w:rPr>
        <w:t>Благодаря бюджетным мерам, которые были приняты, удалось сохранить стабильность выполнения всех первоочередных бюджетных обязательств, поддержать граждан</w:t>
      </w:r>
      <w:r w:rsidR="00242CC9">
        <w:rPr>
          <w:sz w:val="26"/>
          <w:szCs w:val="26"/>
        </w:rPr>
        <w:t xml:space="preserve"> округа</w:t>
      </w:r>
      <w:r w:rsidRPr="007C3F43">
        <w:rPr>
          <w:sz w:val="26"/>
          <w:szCs w:val="26"/>
        </w:rPr>
        <w:t>.</w:t>
      </w:r>
    </w:p>
    <w:p w:rsidR="00EE05E6" w:rsidRPr="00825CEA" w:rsidRDefault="00EE05E6" w:rsidP="00EE05E6">
      <w:pPr>
        <w:pStyle w:val="a3"/>
        <w:ind w:firstLine="709"/>
        <w:rPr>
          <w:sz w:val="26"/>
          <w:szCs w:val="26"/>
        </w:rPr>
      </w:pPr>
      <w:r w:rsidRPr="00825CEA">
        <w:rPr>
          <w:sz w:val="26"/>
          <w:szCs w:val="26"/>
        </w:rPr>
        <w:t xml:space="preserve">Для субъектов малого и среднего предпринимательства были установлены дополнительные меры поддержки по налогу на имущество организаций, упрощенной и патентной системам налогообложения, направленные на снижение издержек от последствий распространения </w:t>
      </w:r>
      <w:proofErr w:type="spellStart"/>
      <w:r w:rsidRPr="00825CEA">
        <w:rPr>
          <w:sz w:val="26"/>
          <w:szCs w:val="26"/>
        </w:rPr>
        <w:t>коронавирусной</w:t>
      </w:r>
      <w:proofErr w:type="spellEnd"/>
      <w:r w:rsidRPr="00825CEA">
        <w:rPr>
          <w:sz w:val="26"/>
          <w:szCs w:val="26"/>
        </w:rPr>
        <w:t xml:space="preserve"> инфекции.</w:t>
      </w:r>
    </w:p>
    <w:p w:rsidR="007C3F43" w:rsidRPr="007C3F43" w:rsidRDefault="007C3F43" w:rsidP="007C3F43">
      <w:pPr>
        <w:pStyle w:val="a3"/>
        <w:ind w:firstLine="709"/>
        <w:rPr>
          <w:sz w:val="26"/>
          <w:szCs w:val="26"/>
        </w:rPr>
      </w:pPr>
      <w:r w:rsidRPr="007C3F43">
        <w:rPr>
          <w:sz w:val="26"/>
          <w:szCs w:val="26"/>
        </w:rPr>
        <w:t xml:space="preserve">В 2020 году в целях реализации Послания Президента Российской Федерации в </w:t>
      </w:r>
      <w:r w:rsidR="00567915">
        <w:rPr>
          <w:sz w:val="26"/>
          <w:szCs w:val="26"/>
        </w:rPr>
        <w:t>автономном округе</w:t>
      </w:r>
      <w:r w:rsidRPr="007C3F43">
        <w:rPr>
          <w:sz w:val="26"/>
          <w:szCs w:val="26"/>
        </w:rPr>
        <w:t xml:space="preserve"> обеспечены расходы на введённую с 1 января ежемесячную выплату на детей в возрасте от трех до семи лет включительно, семьям, среднедушевой доход которых не превышает величину прожиточного минимума и заключивших социальный контракт, а также на организацию бесплатного здорового горячего питания для </w:t>
      </w:r>
      <w:r w:rsidR="00254CB7" w:rsidRPr="00254CB7">
        <w:rPr>
          <w:sz w:val="26"/>
          <w:szCs w:val="26"/>
        </w:rPr>
        <w:t>обучающихся начальных</w:t>
      </w:r>
      <w:r w:rsidR="00254CB7" w:rsidRPr="007C3F43">
        <w:rPr>
          <w:sz w:val="26"/>
          <w:szCs w:val="26"/>
        </w:rPr>
        <w:t xml:space="preserve"> </w:t>
      </w:r>
      <w:r w:rsidRPr="007C3F43">
        <w:rPr>
          <w:sz w:val="26"/>
          <w:szCs w:val="26"/>
        </w:rPr>
        <w:t>классов государственных, муниципальных и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программам.</w:t>
      </w:r>
    </w:p>
    <w:p w:rsidR="007C3F43" w:rsidRPr="007C3F43" w:rsidRDefault="007C3F43" w:rsidP="007C3F43">
      <w:pPr>
        <w:pStyle w:val="a3"/>
        <w:ind w:firstLine="709"/>
        <w:rPr>
          <w:sz w:val="26"/>
          <w:szCs w:val="26"/>
        </w:rPr>
      </w:pPr>
      <w:r w:rsidRPr="007C3F43">
        <w:rPr>
          <w:sz w:val="26"/>
          <w:szCs w:val="26"/>
        </w:rPr>
        <w:t xml:space="preserve">Безусловным приоритетом бюджетной </w:t>
      </w:r>
      <w:r w:rsidR="00025FED" w:rsidRPr="007C3F43">
        <w:rPr>
          <w:sz w:val="26"/>
          <w:szCs w:val="26"/>
        </w:rPr>
        <w:t>политики в</w:t>
      </w:r>
      <w:r w:rsidRPr="007C3F43">
        <w:rPr>
          <w:sz w:val="26"/>
          <w:szCs w:val="26"/>
        </w:rPr>
        <w:t xml:space="preserve"> 2020 году была реализация региональных проектов, охватывающих ключевые направления социально-</w:t>
      </w:r>
      <w:r w:rsidRPr="007C3F43">
        <w:rPr>
          <w:sz w:val="26"/>
          <w:szCs w:val="26"/>
        </w:rPr>
        <w:lastRenderedPageBreak/>
        <w:t xml:space="preserve">экономического развития </w:t>
      </w:r>
      <w:r w:rsidR="00567915">
        <w:rPr>
          <w:sz w:val="26"/>
          <w:szCs w:val="26"/>
        </w:rPr>
        <w:t>автономного округа</w:t>
      </w:r>
      <w:r w:rsidRPr="007C3F43">
        <w:rPr>
          <w:sz w:val="26"/>
          <w:szCs w:val="26"/>
        </w:rPr>
        <w:t xml:space="preserve">, исходя из обозначенных Президентом Российской Федерации национальных целей развития страны в Указе от 7 мая 2018 года № 204 «О национальных целях и стратегических задачах развития Российской Федерации на период до 2024 года». </w:t>
      </w:r>
      <w:r w:rsidR="000F31B8">
        <w:rPr>
          <w:sz w:val="26"/>
          <w:szCs w:val="26"/>
        </w:rPr>
        <w:t xml:space="preserve"> В 2020 году исполнение </w:t>
      </w:r>
      <w:r w:rsidR="00567915">
        <w:rPr>
          <w:sz w:val="26"/>
          <w:szCs w:val="26"/>
        </w:rPr>
        <w:t xml:space="preserve">расходов на реализацию региональных проектов </w:t>
      </w:r>
      <w:r w:rsidR="000F31B8">
        <w:rPr>
          <w:sz w:val="26"/>
          <w:szCs w:val="26"/>
        </w:rPr>
        <w:t>за счет всех источников</w:t>
      </w:r>
      <w:r w:rsidR="00567915">
        <w:rPr>
          <w:sz w:val="26"/>
          <w:szCs w:val="26"/>
        </w:rPr>
        <w:t xml:space="preserve"> финансирования</w:t>
      </w:r>
      <w:r w:rsidR="001C51BA">
        <w:rPr>
          <w:sz w:val="26"/>
          <w:szCs w:val="26"/>
        </w:rPr>
        <w:t xml:space="preserve"> составило </w:t>
      </w:r>
      <w:r w:rsidR="001C51BA" w:rsidRPr="000443CC">
        <w:rPr>
          <w:sz w:val="26"/>
          <w:szCs w:val="26"/>
        </w:rPr>
        <w:t xml:space="preserve">29 305 538 </w:t>
      </w:r>
      <w:r w:rsidR="000443CC" w:rsidRPr="000443CC">
        <w:rPr>
          <w:sz w:val="26"/>
          <w:szCs w:val="26"/>
        </w:rPr>
        <w:t>578</w:t>
      </w:r>
      <w:r w:rsidR="000F31B8">
        <w:rPr>
          <w:sz w:val="26"/>
          <w:szCs w:val="26"/>
        </w:rPr>
        <w:t xml:space="preserve"> рублей</w:t>
      </w:r>
      <w:r w:rsidRPr="000F31B8">
        <w:rPr>
          <w:sz w:val="26"/>
          <w:szCs w:val="26"/>
        </w:rPr>
        <w:t>.</w:t>
      </w:r>
    </w:p>
    <w:p w:rsidR="007C3F43" w:rsidRPr="007C3F43" w:rsidRDefault="00242CC9" w:rsidP="007C3F43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В бюджеты муниципальных образований автономного округа в 2020 году было перечислено </w:t>
      </w:r>
      <w:r w:rsidR="007C3F43" w:rsidRPr="00AD08BA">
        <w:rPr>
          <w:sz w:val="26"/>
          <w:szCs w:val="26"/>
        </w:rPr>
        <w:t xml:space="preserve">межбюджетных </w:t>
      </w:r>
      <w:r w:rsidR="00DE5F88" w:rsidRPr="00AD08BA">
        <w:rPr>
          <w:sz w:val="26"/>
          <w:szCs w:val="26"/>
        </w:rPr>
        <w:t>трансфертов</w:t>
      </w:r>
      <w:r w:rsidR="00DE5F88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сумму 103 991 720 110 </w:t>
      </w:r>
      <w:r w:rsidRPr="00AD08BA">
        <w:rPr>
          <w:sz w:val="26"/>
          <w:szCs w:val="26"/>
        </w:rPr>
        <w:t>рублей</w:t>
      </w:r>
      <w:r w:rsidR="007C3F43" w:rsidRPr="00AD08BA">
        <w:rPr>
          <w:sz w:val="26"/>
          <w:szCs w:val="26"/>
        </w:rPr>
        <w:t>.</w:t>
      </w:r>
      <w:r w:rsidR="007C3F43" w:rsidRPr="007C3F43">
        <w:rPr>
          <w:sz w:val="26"/>
          <w:szCs w:val="26"/>
        </w:rPr>
        <w:t xml:space="preserve"> </w:t>
      </w:r>
    </w:p>
    <w:p w:rsidR="00DE5F88" w:rsidRPr="007C3F43" w:rsidRDefault="007C3F43" w:rsidP="007C3F43">
      <w:pPr>
        <w:pStyle w:val="a3"/>
        <w:ind w:firstLine="709"/>
        <w:rPr>
          <w:sz w:val="26"/>
          <w:szCs w:val="26"/>
        </w:rPr>
      </w:pPr>
      <w:r w:rsidRPr="007C3F43">
        <w:rPr>
          <w:sz w:val="26"/>
          <w:szCs w:val="26"/>
        </w:rPr>
        <w:t>В 2020 году в условиях распространения новой коронавирусной инфекции, в целях минимизации негативных экономических последствий ее распространения, муниципальные образования автономного округа получили дополнительную финансовую поддержку</w:t>
      </w:r>
      <w:r w:rsidR="00567915">
        <w:rPr>
          <w:sz w:val="26"/>
          <w:szCs w:val="26"/>
        </w:rPr>
        <w:t xml:space="preserve"> из бюджета автономного округа</w:t>
      </w:r>
      <w:r w:rsidRPr="007C3F43">
        <w:rPr>
          <w:sz w:val="26"/>
          <w:szCs w:val="26"/>
        </w:rPr>
        <w:t xml:space="preserve"> </w:t>
      </w:r>
      <w:r w:rsidR="00AD08BA">
        <w:rPr>
          <w:sz w:val="26"/>
          <w:szCs w:val="26"/>
        </w:rPr>
        <w:t xml:space="preserve">в сумме 2 013 603 400 </w:t>
      </w:r>
      <w:r w:rsidR="00DE5F88" w:rsidRPr="00DE5F88">
        <w:rPr>
          <w:sz w:val="26"/>
          <w:szCs w:val="26"/>
        </w:rPr>
        <w:t>рублей на финансовое обеспечение мероприятий, связанных с профилактикой и устранением последствий распространения новой коронавирусной инфекции (COVID-19), в том числе на поддержку в период режима повышенной готовности некоммерческих организаций, социальных предприятий, реализующих программы дошкольного образования, организаций, оказывающих услуги по организации питания в образовательных организациях, на обеспечение неработающих граждан в возрасте 65 лет и старше продуктовыми наборами;</w:t>
      </w:r>
      <w:r w:rsidR="00DE5F88">
        <w:rPr>
          <w:sz w:val="26"/>
          <w:szCs w:val="26"/>
        </w:rPr>
        <w:t xml:space="preserve"> </w:t>
      </w:r>
      <w:r w:rsidR="00DE5F88" w:rsidRPr="00DE5F88">
        <w:rPr>
          <w:sz w:val="26"/>
          <w:szCs w:val="26"/>
        </w:rPr>
        <w:t>на частичную компенсацию выпадающих налоговых и неналоговых доходов бюджетов муниципальных образований автономного округа в связи с принятием мер поддержки, оказываемых организациям и индивидуальным предпринимателям, занятым в сферах деятельности, наиболее пострадавших в условиях ухудшения ситуации в связи с распространением новой коронавирусной инфекции (COVID-19)</w:t>
      </w:r>
      <w:r w:rsidR="00DE5F88">
        <w:rPr>
          <w:sz w:val="26"/>
          <w:szCs w:val="26"/>
        </w:rPr>
        <w:t>.</w:t>
      </w:r>
    </w:p>
    <w:p w:rsidR="007C3F43" w:rsidRPr="007C3F43" w:rsidRDefault="00567915" w:rsidP="007C3F43">
      <w:pPr>
        <w:pStyle w:val="a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Несмотря на сложную экономическую ситуацию </w:t>
      </w:r>
      <w:r w:rsidR="007C3F43" w:rsidRPr="007C3F43">
        <w:rPr>
          <w:sz w:val="26"/>
          <w:szCs w:val="26"/>
        </w:rPr>
        <w:t xml:space="preserve">была сохранена часть </w:t>
      </w:r>
      <w:proofErr w:type="spellStart"/>
      <w:r w:rsidR="007C3F43" w:rsidRPr="007C3F43">
        <w:rPr>
          <w:sz w:val="26"/>
          <w:szCs w:val="26"/>
        </w:rPr>
        <w:t>грантовой</w:t>
      </w:r>
      <w:proofErr w:type="spellEnd"/>
      <w:r w:rsidR="007C3F43" w:rsidRPr="007C3F43">
        <w:rPr>
          <w:sz w:val="26"/>
          <w:szCs w:val="26"/>
        </w:rPr>
        <w:t xml:space="preserve"> поддержки муниципальных образований автономного округа.  </w:t>
      </w:r>
      <w:r>
        <w:rPr>
          <w:sz w:val="26"/>
          <w:szCs w:val="26"/>
        </w:rPr>
        <w:t>Муниципальные образования поощрены грантами (дотацией) з</w:t>
      </w:r>
      <w:r w:rsidR="007C3F43" w:rsidRPr="007C3F43">
        <w:rPr>
          <w:sz w:val="26"/>
          <w:szCs w:val="26"/>
        </w:rPr>
        <w:t xml:space="preserve">а развитие практик инициативного бюджетирования, а также в целях стимулирования роста налогового потенциала и качества планирования доходов местных бюджетов </w:t>
      </w:r>
      <w:r w:rsidR="007C3F43" w:rsidRPr="00AD08BA">
        <w:rPr>
          <w:sz w:val="26"/>
          <w:szCs w:val="26"/>
        </w:rPr>
        <w:t>по 100</w:t>
      </w:r>
      <w:r w:rsidR="00AD08BA" w:rsidRPr="00AD08BA">
        <w:rPr>
          <w:sz w:val="26"/>
          <w:szCs w:val="26"/>
        </w:rPr>
        <w:t> 000 000</w:t>
      </w:r>
      <w:r w:rsidR="007C3F43" w:rsidRPr="00AD08BA">
        <w:rPr>
          <w:sz w:val="26"/>
          <w:szCs w:val="26"/>
        </w:rPr>
        <w:t xml:space="preserve"> рублей по</w:t>
      </w:r>
      <w:r w:rsidR="007C3F43" w:rsidRPr="007C3F43">
        <w:rPr>
          <w:sz w:val="26"/>
          <w:szCs w:val="26"/>
        </w:rPr>
        <w:t xml:space="preserve"> каждому направлению.</w:t>
      </w:r>
    </w:p>
    <w:p w:rsidR="007C3F43" w:rsidRPr="00FC2B49" w:rsidRDefault="007C3F43" w:rsidP="007C3F43">
      <w:pPr>
        <w:pStyle w:val="a3"/>
        <w:ind w:firstLine="709"/>
        <w:rPr>
          <w:sz w:val="26"/>
          <w:szCs w:val="26"/>
        </w:rPr>
      </w:pPr>
      <w:r w:rsidRPr="00212594">
        <w:rPr>
          <w:sz w:val="26"/>
          <w:szCs w:val="26"/>
        </w:rPr>
        <w:t xml:space="preserve">Долговая политика </w:t>
      </w:r>
      <w:r w:rsidR="00025FED" w:rsidRPr="00212594">
        <w:rPr>
          <w:sz w:val="26"/>
          <w:szCs w:val="26"/>
        </w:rPr>
        <w:t xml:space="preserve">Ханты-Мансийского </w:t>
      </w:r>
      <w:r w:rsidRPr="00212594">
        <w:rPr>
          <w:sz w:val="26"/>
          <w:szCs w:val="26"/>
        </w:rPr>
        <w:t>автономного округа</w:t>
      </w:r>
      <w:r w:rsidR="00212594" w:rsidRPr="00212594">
        <w:rPr>
          <w:sz w:val="26"/>
          <w:szCs w:val="26"/>
        </w:rPr>
        <w:t xml:space="preserve"> – Югры</w:t>
      </w:r>
      <w:r w:rsidRPr="00212594">
        <w:rPr>
          <w:sz w:val="26"/>
          <w:szCs w:val="26"/>
        </w:rPr>
        <w:t xml:space="preserve">, проводимая в 2020 году, позволила сохранить уровень государственного долга </w:t>
      </w:r>
      <w:r w:rsidRPr="00212594">
        <w:rPr>
          <w:sz w:val="26"/>
          <w:szCs w:val="26"/>
        </w:rPr>
        <w:lastRenderedPageBreak/>
        <w:t>автономного округа на безопасном уровне. Новые государственные заимствования не осуществлялись. Государственный долг сократился по сравнению с началом года на 1</w:t>
      </w:r>
      <w:r w:rsidR="00212594">
        <w:rPr>
          <w:sz w:val="26"/>
          <w:szCs w:val="26"/>
        </w:rPr>
        <w:t> </w:t>
      </w:r>
      <w:r w:rsidRPr="00212594">
        <w:rPr>
          <w:sz w:val="26"/>
          <w:szCs w:val="26"/>
        </w:rPr>
        <w:t>8</w:t>
      </w:r>
      <w:r w:rsidR="00212594">
        <w:rPr>
          <w:sz w:val="26"/>
          <w:szCs w:val="26"/>
        </w:rPr>
        <w:t>00 000 000</w:t>
      </w:r>
      <w:r w:rsidRPr="00212594">
        <w:rPr>
          <w:sz w:val="26"/>
          <w:szCs w:val="26"/>
        </w:rPr>
        <w:t xml:space="preserve">. рублей, и на конец </w:t>
      </w:r>
      <w:r w:rsidRPr="008A6114">
        <w:rPr>
          <w:sz w:val="26"/>
          <w:szCs w:val="26"/>
        </w:rPr>
        <w:t>года состави</w:t>
      </w:r>
      <w:r w:rsidR="00567915" w:rsidRPr="008A6114">
        <w:rPr>
          <w:sz w:val="26"/>
          <w:szCs w:val="26"/>
        </w:rPr>
        <w:t xml:space="preserve">л </w:t>
      </w:r>
      <w:r w:rsidR="008A6114" w:rsidRPr="008A6114">
        <w:rPr>
          <w:sz w:val="26"/>
          <w:szCs w:val="26"/>
        </w:rPr>
        <w:t>4,8</w:t>
      </w:r>
      <w:r w:rsidR="00567915" w:rsidRPr="008A6114">
        <w:rPr>
          <w:sz w:val="26"/>
          <w:szCs w:val="26"/>
        </w:rPr>
        <w:t xml:space="preserve"> </w:t>
      </w:r>
      <w:r w:rsidRPr="008A6114">
        <w:rPr>
          <w:sz w:val="26"/>
          <w:szCs w:val="26"/>
        </w:rPr>
        <w:t>% от доходов</w:t>
      </w:r>
      <w:r w:rsidRPr="00212594">
        <w:rPr>
          <w:sz w:val="26"/>
          <w:szCs w:val="26"/>
        </w:rPr>
        <w:t xml:space="preserve"> бюджета автономного округа без учета безвозмездных поступлений.</w:t>
      </w:r>
      <w:r w:rsidRPr="007C3F43">
        <w:rPr>
          <w:sz w:val="26"/>
          <w:szCs w:val="26"/>
        </w:rPr>
        <w:t xml:space="preserve"> </w:t>
      </w:r>
    </w:p>
    <w:p w:rsidR="00471F58" w:rsidRPr="00471F58" w:rsidRDefault="00471F58" w:rsidP="00471F58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1F58">
        <w:rPr>
          <w:rFonts w:ascii="Times New Roman" w:hAnsi="Times New Roman"/>
          <w:sz w:val="26"/>
          <w:szCs w:val="26"/>
        </w:rPr>
        <w:t>Аналитическое кредитное рейтинговое агентство (АКРА) в 2020 году подтвердило присвоенный в 2017 году Ханты-Мансийскому автономному округу – Югре и выпускам облигаций Ханты-Мансийского автономного округа – Югры кредитный рейтинг ААА(RU), прогноз «Стабильный». Аналитики обуславливают это высоким уровнем развития региональной экономики, высоким уровнем ликвидности бюджета.</w:t>
      </w:r>
    </w:p>
    <w:p w:rsidR="00471F58" w:rsidRPr="00471F58" w:rsidRDefault="00471F58" w:rsidP="00471F58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1F58">
        <w:rPr>
          <w:rFonts w:ascii="Times New Roman" w:hAnsi="Times New Roman"/>
          <w:sz w:val="26"/>
          <w:szCs w:val="26"/>
        </w:rPr>
        <w:t>Ханты-Мансийский автономный округ – Югра входит в десятку субъектов Российской Федерации с наименьшим уровнем долговой нагрузки.</w:t>
      </w:r>
    </w:p>
    <w:p w:rsidR="00471F58" w:rsidRPr="00471F58" w:rsidRDefault="00471F58" w:rsidP="00471F58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71F58">
        <w:rPr>
          <w:rFonts w:ascii="Times New Roman" w:hAnsi="Times New Roman"/>
          <w:sz w:val="26"/>
          <w:szCs w:val="26"/>
        </w:rPr>
        <w:t>По оценкам консалтинговой компании PwC округ занимает пятое место среди субъектов Российской Федерации в части реализуемых полномочий в области налоговой политики.</w:t>
      </w:r>
    </w:p>
    <w:p w:rsidR="00471F58" w:rsidRPr="00471F58" w:rsidRDefault="00471F58" w:rsidP="00471F58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71F58">
        <w:rPr>
          <w:rFonts w:eastAsia="Calibri"/>
          <w:sz w:val="26"/>
          <w:szCs w:val="26"/>
          <w:lang w:eastAsia="en-US"/>
        </w:rPr>
        <w:t xml:space="preserve">Ханты-Мансийский автономный округ – Югра в 2020 году </w:t>
      </w:r>
      <w:r w:rsidR="00D27EE1">
        <w:rPr>
          <w:rFonts w:eastAsia="Calibri"/>
          <w:sz w:val="26"/>
          <w:szCs w:val="26"/>
          <w:lang w:eastAsia="en-US"/>
        </w:rPr>
        <w:t>входит в число</w:t>
      </w:r>
      <w:r w:rsidRPr="00471F58">
        <w:rPr>
          <w:rFonts w:eastAsia="Calibri"/>
          <w:sz w:val="26"/>
          <w:szCs w:val="26"/>
          <w:lang w:eastAsia="en-US"/>
        </w:rPr>
        <w:t xml:space="preserve"> субъектов Российской Федерации с высоким качеством управления региональными финансами.</w:t>
      </w:r>
    </w:p>
    <w:p w:rsidR="002266C6" w:rsidRPr="00C02727" w:rsidRDefault="002266C6" w:rsidP="007C3F43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166C" w:rsidRDefault="00F6166C" w:rsidP="00F6166C">
      <w:pPr>
        <w:pStyle w:val="a4"/>
        <w:keepNext/>
        <w:ind w:right="141" w:firstLine="600"/>
        <w:outlineLvl w:val="0"/>
        <w:rPr>
          <w:sz w:val="26"/>
          <w:szCs w:val="26"/>
        </w:rPr>
      </w:pPr>
      <w:bookmarkStart w:id="4" w:name="_Toc288590605"/>
      <w:r w:rsidRPr="00E8793B">
        <w:rPr>
          <w:sz w:val="26"/>
          <w:szCs w:val="26"/>
        </w:rPr>
        <w:t>РАЗДЕЛ II</w:t>
      </w:r>
      <w:r w:rsidRPr="00E8793B">
        <w:rPr>
          <w:sz w:val="26"/>
          <w:szCs w:val="26"/>
          <w:lang w:val="en-US"/>
        </w:rPr>
        <w:t>I</w:t>
      </w:r>
      <w:r w:rsidRPr="00E8793B">
        <w:rPr>
          <w:sz w:val="26"/>
          <w:szCs w:val="26"/>
        </w:rPr>
        <w:t xml:space="preserve"> «АНАЛИЗ ОТЧЕТА ОБ ИСПОЛНЕНИИ БЮДЖЕТА СУБЪЕКТОМ БЮДЖЕТНОЙ ОТЧЕТНОСТИ»</w:t>
      </w:r>
      <w:bookmarkEnd w:id="4"/>
    </w:p>
    <w:p w:rsidR="002266C6" w:rsidRDefault="002266C6" w:rsidP="00F6166C">
      <w:pPr>
        <w:pStyle w:val="a4"/>
        <w:keepNext/>
        <w:ind w:right="141" w:firstLine="600"/>
        <w:outlineLvl w:val="0"/>
        <w:rPr>
          <w:sz w:val="26"/>
          <w:szCs w:val="26"/>
        </w:rPr>
      </w:pPr>
    </w:p>
    <w:p w:rsidR="00254CB7" w:rsidRPr="002266C6" w:rsidRDefault="00254CB7" w:rsidP="00254CB7">
      <w:pPr>
        <w:spacing w:line="360" w:lineRule="auto"/>
        <w:ind w:firstLine="675"/>
        <w:jc w:val="both"/>
        <w:rPr>
          <w:rFonts w:ascii="Times New Roman" w:hAnsi="Times New Roman"/>
          <w:sz w:val="26"/>
          <w:szCs w:val="26"/>
        </w:rPr>
      </w:pPr>
      <w:r w:rsidRPr="00254CB7">
        <w:rPr>
          <w:rFonts w:ascii="Times New Roman" w:hAnsi="Times New Roman"/>
          <w:sz w:val="26"/>
          <w:szCs w:val="26"/>
        </w:rPr>
        <w:t xml:space="preserve">За 2020 год в бюджет автономного округа поступило </w:t>
      </w:r>
      <w:r w:rsidR="00EE05E6">
        <w:rPr>
          <w:rFonts w:ascii="Times New Roman" w:hAnsi="Times New Roman"/>
          <w:sz w:val="26"/>
          <w:szCs w:val="26"/>
        </w:rPr>
        <w:t xml:space="preserve">доходов в сумме </w:t>
      </w:r>
      <w:r w:rsidRPr="00254CB7">
        <w:rPr>
          <w:rFonts w:ascii="Times New Roman" w:hAnsi="Times New Roman"/>
          <w:sz w:val="26"/>
          <w:szCs w:val="26"/>
        </w:rPr>
        <w:t>261 727 587 328 рублей, утвержденные бюджетные назначения исполнены на 101,5%, что больше поступлений прошлого года на 1 968 708 663 рублей, или на 0,8%. Рост доходов обусловлен в основном увеличением поступлений по налогу на прибыль организаций, который фиксируется по консолидированным группам налогоплательщиков, в результате увеличения прибыли компаний нефтяного сектора от внереализационной деятельности.</w:t>
      </w:r>
    </w:p>
    <w:p w:rsidR="008737F7" w:rsidRDefault="00F6166C" w:rsidP="008737F7">
      <w:pPr>
        <w:pStyle w:val="a7"/>
        <w:spacing w:beforeAutospacing="0" w:after="0" w:afterAutospacing="0" w:line="360" w:lineRule="auto"/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AC378C">
        <w:rPr>
          <w:rFonts w:eastAsia="Calibri"/>
          <w:sz w:val="26"/>
          <w:szCs w:val="26"/>
          <w:lang w:eastAsia="en-US"/>
        </w:rPr>
        <w:t xml:space="preserve">Расходы бюджета автономного округа </w:t>
      </w:r>
      <w:r w:rsidR="001D2DF4" w:rsidRPr="00AC378C">
        <w:rPr>
          <w:rFonts w:eastAsia="Calibri"/>
          <w:sz w:val="26"/>
          <w:szCs w:val="26"/>
          <w:lang w:eastAsia="en-US"/>
        </w:rPr>
        <w:t>за 2020</w:t>
      </w:r>
      <w:r w:rsidRPr="00AC378C">
        <w:rPr>
          <w:rFonts w:eastAsia="Calibri"/>
          <w:sz w:val="26"/>
          <w:szCs w:val="26"/>
          <w:lang w:eastAsia="en-US"/>
        </w:rPr>
        <w:t xml:space="preserve"> год исполнены </w:t>
      </w:r>
      <w:r w:rsidRPr="00A7784E">
        <w:rPr>
          <w:rFonts w:eastAsia="Calibri"/>
          <w:sz w:val="26"/>
          <w:szCs w:val="26"/>
          <w:lang w:eastAsia="en-US"/>
        </w:rPr>
        <w:t xml:space="preserve">в </w:t>
      </w:r>
      <w:r w:rsidR="00A7784E" w:rsidRPr="00A7784E">
        <w:rPr>
          <w:rFonts w:eastAsia="Calibri"/>
          <w:sz w:val="26"/>
          <w:szCs w:val="26"/>
          <w:lang w:eastAsia="en-US"/>
        </w:rPr>
        <w:t xml:space="preserve">сумме </w:t>
      </w:r>
      <w:r w:rsidR="00775D43">
        <w:rPr>
          <w:rFonts w:eastAsia="Calibri"/>
          <w:sz w:val="26"/>
          <w:szCs w:val="26"/>
          <w:lang w:eastAsia="en-US"/>
        </w:rPr>
        <w:t xml:space="preserve">272 902 376 080 рублей, или на 96,9% к </w:t>
      </w:r>
      <w:r w:rsidR="00775D43" w:rsidRPr="00A7784E">
        <w:rPr>
          <w:rFonts w:eastAsia="Calibri"/>
          <w:sz w:val="26"/>
          <w:szCs w:val="26"/>
          <w:lang w:eastAsia="en-US"/>
        </w:rPr>
        <w:t>утвержденным</w:t>
      </w:r>
      <w:r w:rsidR="00775D43" w:rsidRPr="00AC378C">
        <w:rPr>
          <w:rFonts w:eastAsia="Calibri"/>
          <w:sz w:val="26"/>
          <w:szCs w:val="26"/>
          <w:lang w:eastAsia="en-US"/>
        </w:rPr>
        <w:t xml:space="preserve"> бюджетным назначениям</w:t>
      </w:r>
      <w:r w:rsidR="00775D43" w:rsidRPr="00A7784E">
        <w:rPr>
          <w:rFonts w:eastAsia="Calibri"/>
          <w:sz w:val="26"/>
          <w:szCs w:val="26"/>
          <w:lang w:eastAsia="en-US"/>
        </w:rPr>
        <w:t>.</w:t>
      </w:r>
      <w:r w:rsidR="00775D43">
        <w:rPr>
          <w:rFonts w:eastAsia="Calibri"/>
          <w:sz w:val="26"/>
          <w:szCs w:val="26"/>
          <w:lang w:eastAsia="en-US"/>
        </w:rPr>
        <w:t xml:space="preserve"> </w:t>
      </w:r>
      <w:r w:rsidR="00DE5F88">
        <w:rPr>
          <w:rFonts w:eastAsia="Calibri"/>
          <w:sz w:val="26"/>
          <w:szCs w:val="26"/>
          <w:lang w:eastAsia="en-US"/>
        </w:rPr>
        <w:t>Прир</w:t>
      </w:r>
      <w:r w:rsidR="00775D43">
        <w:rPr>
          <w:rFonts w:eastAsia="Calibri"/>
          <w:sz w:val="26"/>
          <w:szCs w:val="26"/>
          <w:lang w:eastAsia="en-US"/>
        </w:rPr>
        <w:t>ост расходов к прошлому году составил</w:t>
      </w:r>
      <w:r w:rsidR="00DE5F88">
        <w:rPr>
          <w:rFonts w:eastAsia="Calibri"/>
          <w:sz w:val="26"/>
          <w:szCs w:val="26"/>
          <w:lang w:eastAsia="en-US"/>
        </w:rPr>
        <w:t xml:space="preserve"> 24 112 440 561 рубль, или </w:t>
      </w:r>
      <w:r w:rsidR="008737F7">
        <w:rPr>
          <w:rFonts w:eastAsia="Calibri"/>
          <w:sz w:val="26"/>
          <w:szCs w:val="26"/>
          <w:lang w:eastAsia="en-US"/>
        </w:rPr>
        <w:t xml:space="preserve">9,7%. </w:t>
      </w:r>
    </w:p>
    <w:p w:rsidR="004D3381" w:rsidRPr="008737F7" w:rsidRDefault="00F971E8" w:rsidP="00F971E8">
      <w:pPr>
        <w:pStyle w:val="a7"/>
        <w:spacing w:beforeAutospacing="0" w:after="0" w:afterAutospacing="0" w:line="360" w:lineRule="auto"/>
        <w:ind w:firstLine="709"/>
        <w:jc w:val="both"/>
        <w:rPr>
          <w:sz w:val="26"/>
          <w:szCs w:val="26"/>
        </w:rPr>
      </w:pPr>
      <w:r w:rsidRPr="008737F7">
        <w:rPr>
          <w:rFonts w:eastAsia="Calibri"/>
          <w:sz w:val="26"/>
          <w:szCs w:val="26"/>
          <w:lang w:eastAsia="en-US"/>
        </w:rPr>
        <w:lastRenderedPageBreak/>
        <w:t>Расходы н</w:t>
      </w:r>
      <w:r w:rsidR="004D3381" w:rsidRPr="008737F7">
        <w:rPr>
          <w:sz w:val="26"/>
          <w:szCs w:val="26"/>
        </w:rPr>
        <w:t xml:space="preserve">а финансирование отраслей социальной сферы в 2020 году </w:t>
      </w:r>
      <w:r w:rsidRPr="008737F7">
        <w:rPr>
          <w:sz w:val="26"/>
          <w:szCs w:val="26"/>
        </w:rPr>
        <w:t xml:space="preserve">исполнены в сумме </w:t>
      </w:r>
      <w:r w:rsidR="008737F7">
        <w:rPr>
          <w:sz w:val="26"/>
          <w:szCs w:val="26"/>
        </w:rPr>
        <w:t>189 940 223 472 рубля</w:t>
      </w:r>
      <w:r w:rsidR="004D3381" w:rsidRPr="008737F7">
        <w:rPr>
          <w:sz w:val="26"/>
          <w:szCs w:val="26"/>
        </w:rPr>
        <w:t xml:space="preserve">, </w:t>
      </w:r>
      <w:r w:rsidR="00D264CB" w:rsidRPr="008737F7">
        <w:rPr>
          <w:sz w:val="26"/>
          <w:szCs w:val="26"/>
        </w:rPr>
        <w:t xml:space="preserve">что составляет </w:t>
      </w:r>
      <w:r w:rsidR="008737F7">
        <w:rPr>
          <w:sz w:val="26"/>
          <w:szCs w:val="26"/>
        </w:rPr>
        <w:t>69,6</w:t>
      </w:r>
      <w:r w:rsidR="004D3381" w:rsidRPr="008737F7">
        <w:rPr>
          <w:sz w:val="26"/>
          <w:szCs w:val="26"/>
        </w:rPr>
        <w:t>% всех расходов бюджета</w:t>
      </w:r>
      <w:r w:rsidR="00D264CB" w:rsidRPr="008737F7">
        <w:rPr>
          <w:sz w:val="26"/>
          <w:szCs w:val="26"/>
        </w:rPr>
        <w:t xml:space="preserve"> автономного округа</w:t>
      </w:r>
      <w:r w:rsidR="004D3381" w:rsidRPr="008737F7">
        <w:rPr>
          <w:sz w:val="26"/>
          <w:szCs w:val="26"/>
        </w:rPr>
        <w:t xml:space="preserve">, что выше </w:t>
      </w:r>
      <w:r w:rsidR="002C67F2">
        <w:rPr>
          <w:sz w:val="26"/>
          <w:szCs w:val="26"/>
        </w:rPr>
        <w:t>на 12,3</w:t>
      </w:r>
      <w:r w:rsidRPr="008737F7">
        <w:rPr>
          <w:sz w:val="26"/>
          <w:szCs w:val="26"/>
        </w:rPr>
        <w:t>%</w:t>
      </w:r>
      <w:r w:rsidR="00D264CB" w:rsidRPr="008737F7">
        <w:rPr>
          <w:sz w:val="26"/>
          <w:szCs w:val="26"/>
        </w:rPr>
        <w:t>,</w:t>
      </w:r>
      <w:r w:rsidRPr="008737F7">
        <w:rPr>
          <w:sz w:val="26"/>
          <w:szCs w:val="26"/>
        </w:rPr>
        <w:t xml:space="preserve"> </w:t>
      </w:r>
      <w:r w:rsidR="00D264CB" w:rsidRPr="008737F7">
        <w:rPr>
          <w:sz w:val="26"/>
          <w:szCs w:val="26"/>
        </w:rPr>
        <w:t xml:space="preserve">чем в 2019 году. В абсолютной сумме прирост составляет </w:t>
      </w:r>
      <w:r w:rsidR="002C67F2">
        <w:rPr>
          <w:sz w:val="26"/>
          <w:szCs w:val="26"/>
        </w:rPr>
        <w:t>20 864 858 183 рубля</w:t>
      </w:r>
      <w:r w:rsidRPr="008737F7">
        <w:rPr>
          <w:sz w:val="26"/>
          <w:szCs w:val="26"/>
        </w:rPr>
        <w:t>.</w:t>
      </w:r>
    </w:p>
    <w:p w:rsidR="00D264CB" w:rsidRPr="008737F7" w:rsidRDefault="00F971E8" w:rsidP="00AC378C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37F7">
        <w:rPr>
          <w:rFonts w:eastAsia="Calibri"/>
          <w:sz w:val="26"/>
          <w:szCs w:val="26"/>
          <w:lang w:eastAsia="en-US"/>
        </w:rPr>
        <w:t>Н</w:t>
      </w:r>
      <w:r w:rsidR="001D2DF4" w:rsidRPr="008737F7">
        <w:rPr>
          <w:rFonts w:eastAsia="Calibri"/>
          <w:sz w:val="26"/>
          <w:szCs w:val="26"/>
          <w:lang w:eastAsia="en-US"/>
        </w:rPr>
        <w:t>аибольш</w:t>
      </w:r>
      <w:r w:rsidR="00A05F58" w:rsidRPr="008737F7">
        <w:rPr>
          <w:rFonts w:eastAsia="Calibri"/>
          <w:sz w:val="26"/>
          <w:szCs w:val="26"/>
          <w:lang w:eastAsia="en-US"/>
        </w:rPr>
        <w:t xml:space="preserve">ий </w:t>
      </w:r>
      <w:r w:rsidRPr="008737F7">
        <w:rPr>
          <w:rFonts w:eastAsia="Calibri"/>
          <w:sz w:val="26"/>
          <w:szCs w:val="26"/>
          <w:lang w:eastAsia="en-US"/>
        </w:rPr>
        <w:t>удельный вес</w:t>
      </w:r>
      <w:r w:rsidR="00D264CB" w:rsidRPr="008737F7">
        <w:rPr>
          <w:rFonts w:eastAsia="Calibri"/>
          <w:sz w:val="26"/>
          <w:szCs w:val="26"/>
          <w:lang w:eastAsia="en-US"/>
        </w:rPr>
        <w:t xml:space="preserve"> – </w:t>
      </w:r>
      <w:r w:rsidR="002C67F2">
        <w:rPr>
          <w:rFonts w:eastAsia="Calibri"/>
          <w:sz w:val="26"/>
          <w:szCs w:val="26"/>
          <w:lang w:eastAsia="en-US"/>
        </w:rPr>
        <w:t>28,2</w:t>
      </w:r>
      <w:r w:rsidRPr="008737F7">
        <w:rPr>
          <w:rFonts w:eastAsia="Calibri"/>
          <w:sz w:val="26"/>
          <w:szCs w:val="26"/>
          <w:lang w:eastAsia="en-US"/>
        </w:rPr>
        <w:t>% в общих расходах бюджета</w:t>
      </w:r>
      <w:r w:rsidR="00D264CB" w:rsidRPr="008737F7">
        <w:rPr>
          <w:rFonts w:eastAsia="Calibri"/>
          <w:sz w:val="26"/>
          <w:szCs w:val="26"/>
          <w:lang w:eastAsia="en-US"/>
        </w:rPr>
        <w:t xml:space="preserve"> автономного округа</w:t>
      </w:r>
      <w:r w:rsidRPr="008737F7">
        <w:rPr>
          <w:rFonts w:eastAsia="Calibri"/>
          <w:sz w:val="26"/>
          <w:szCs w:val="26"/>
          <w:lang w:eastAsia="en-US"/>
        </w:rPr>
        <w:t xml:space="preserve"> занимают </w:t>
      </w:r>
      <w:r w:rsidR="001D2DF4" w:rsidRPr="008737F7">
        <w:rPr>
          <w:rFonts w:eastAsia="Calibri"/>
          <w:sz w:val="26"/>
          <w:szCs w:val="26"/>
          <w:lang w:eastAsia="en-US"/>
        </w:rPr>
        <w:t xml:space="preserve">расходы на </w:t>
      </w:r>
      <w:r w:rsidR="00D264CB" w:rsidRPr="008737F7">
        <w:rPr>
          <w:rFonts w:eastAsia="Calibri"/>
          <w:sz w:val="26"/>
          <w:szCs w:val="26"/>
          <w:lang w:eastAsia="en-US"/>
        </w:rPr>
        <w:t xml:space="preserve">образование. Их исполнение составило </w:t>
      </w:r>
      <w:r w:rsidR="002C67F2">
        <w:rPr>
          <w:rFonts w:eastAsia="Calibri"/>
          <w:sz w:val="26"/>
          <w:szCs w:val="26"/>
          <w:lang w:eastAsia="en-US"/>
        </w:rPr>
        <w:t>76 963 174 444</w:t>
      </w:r>
      <w:r w:rsidR="00A05F58" w:rsidRPr="008737F7">
        <w:rPr>
          <w:rFonts w:eastAsia="Calibri"/>
          <w:sz w:val="26"/>
          <w:szCs w:val="26"/>
          <w:lang w:eastAsia="en-US"/>
        </w:rPr>
        <w:t xml:space="preserve"> рубл</w:t>
      </w:r>
      <w:r w:rsidR="002C67F2">
        <w:rPr>
          <w:rFonts w:eastAsia="Calibri"/>
          <w:sz w:val="26"/>
          <w:szCs w:val="26"/>
          <w:lang w:eastAsia="en-US"/>
        </w:rPr>
        <w:t>я</w:t>
      </w:r>
      <w:r w:rsidRPr="008737F7">
        <w:rPr>
          <w:rFonts w:eastAsia="Calibri"/>
          <w:sz w:val="26"/>
          <w:szCs w:val="26"/>
          <w:lang w:eastAsia="en-US"/>
        </w:rPr>
        <w:t xml:space="preserve">. </w:t>
      </w:r>
      <w:r w:rsidR="00A05F58" w:rsidRPr="008737F7">
        <w:rPr>
          <w:rFonts w:eastAsia="Calibri"/>
          <w:sz w:val="26"/>
          <w:szCs w:val="26"/>
          <w:lang w:eastAsia="en-US"/>
        </w:rPr>
        <w:t xml:space="preserve"> </w:t>
      </w:r>
    </w:p>
    <w:p w:rsidR="00D264CB" w:rsidRPr="008737F7" w:rsidRDefault="00D264CB" w:rsidP="00AC378C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37F7">
        <w:rPr>
          <w:rFonts w:eastAsia="Calibri"/>
          <w:sz w:val="26"/>
          <w:szCs w:val="26"/>
          <w:lang w:eastAsia="en-US"/>
        </w:rPr>
        <w:t xml:space="preserve">На развитие здравоохранения в 2020 году направлено </w:t>
      </w:r>
      <w:r w:rsidR="002C67F2">
        <w:rPr>
          <w:rFonts w:eastAsia="Calibri"/>
          <w:sz w:val="26"/>
          <w:szCs w:val="26"/>
          <w:lang w:eastAsia="en-US"/>
        </w:rPr>
        <w:t>52 906 995 665</w:t>
      </w:r>
      <w:r w:rsidR="00A05F58" w:rsidRPr="008737F7">
        <w:rPr>
          <w:rFonts w:eastAsia="Calibri"/>
          <w:sz w:val="26"/>
          <w:szCs w:val="26"/>
          <w:lang w:eastAsia="en-US"/>
        </w:rPr>
        <w:t xml:space="preserve"> рублей</w:t>
      </w:r>
      <w:r w:rsidR="00F971E8" w:rsidRPr="008737F7">
        <w:rPr>
          <w:rFonts w:eastAsia="Calibri"/>
          <w:sz w:val="26"/>
          <w:szCs w:val="26"/>
          <w:lang w:eastAsia="en-US"/>
        </w:rPr>
        <w:t xml:space="preserve">, </w:t>
      </w:r>
      <w:r w:rsidRPr="008737F7">
        <w:rPr>
          <w:rFonts w:eastAsia="Calibri"/>
          <w:sz w:val="26"/>
          <w:szCs w:val="26"/>
          <w:lang w:eastAsia="en-US"/>
        </w:rPr>
        <w:t xml:space="preserve">или </w:t>
      </w:r>
      <w:r w:rsidR="002C67F2">
        <w:rPr>
          <w:rFonts w:eastAsia="Calibri"/>
          <w:sz w:val="26"/>
          <w:szCs w:val="26"/>
          <w:lang w:eastAsia="en-US"/>
        </w:rPr>
        <w:t>19,4</w:t>
      </w:r>
      <w:r w:rsidRPr="008737F7">
        <w:rPr>
          <w:rFonts w:eastAsia="Calibri"/>
          <w:sz w:val="26"/>
          <w:szCs w:val="26"/>
          <w:lang w:eastAsia="en-US"/>
        </w:rPr>
        <w:t>% от общих расходов</w:t>
      </w:r>
      <w:r w:rsidR="00A05F58" w:rsidRPr="008737F7">
        <w:rPr>
          <w:rFonts w:eastAsia="Calibri"/>
          <w:sz w:val="26"/>
          <w:szCs w:val="26"/>
          <w:lang w:eastAsia="en-US"/>
        </w:rPr>
        <w:t xml:space="preserve"> бюджета</w:t>
      </w:r>
      <w:r w:rsidRPr="008737F7">
        <w:rPr>
          <w:rFonts w:eastAsia="Calibri"/>
          <w:sz w:val="26"/>
          <w:szCs w:val="26"/>
          <w:lang w:eastAsia="en-US"/>
        </w:rPr>
        <w:t xml:space="preserve"> автономного округа</w:t>
      </w:r>
      <w:r w:rsidR="00F971E8" w:rsidRPr="008737F7">
        <w:rPr>
          <w:rFonts w:eastAsia="Calibri"/>
          <w:sz w:val="26"/>
          <w:szCs w:val="26"/>
          <w:lang w:eastAsia="en-US"/>
        </w:rPr>
        <w:t xml:space="preserve">. </w:t>
      </w:r>
    </w:p>
    <w:p w:rsidR="001D2DF4" w:rsidRPr="008737F7" w:rsidRDefault="00F971E8" w:rsidP="00AC378C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37F7">
        <w:rPr>
          <w:rFonts w:eastAsia="Calibri"/>
          <w:sz w:val="26"/>
          <w:szCs w:val="26"/>
          <w:lang w:eastAsia="en-US"/>
        </w:rPr>
        <w:t xml:space="preserve">Расходы на социальную политику исполнены в сумме </w:t>
      </w:r>
      <w:r w:rsidR="002C67F2">
        <w:rPr>
          <w:rFonts w:eastAsia="Calibri"/>
          <w:sz w:val="26"/>
          <w:szCs w:val="26"/>
          <w:lang w:eastAsia="en-US"/>
        </w:rPr>
        <w:t>51 872 717 999 рублей</w:t>
      </w:r>
      <w:r w:rsidRPr="008737F7">
        <w:rPr>
          <w:rFonts w:eastAsia="Calibri"/>
          <w:sz w:val="26"/>
          <w:szCs w:val="26"/>
          <w:lang w:eastAsia="en-US"/>
        </w:rPr>
        <w:t>, что составляет</w:t>
      </w:r>
      <w:r w:rsidR="00A05F58" w:rsidRPr="008737F7">
        <w:rPr>
          <w:rFonts w:eastAsia="Calibri"/>
          <w:sz w:val="26"/>
          <w:szCs w:val="26"/>
          <w:lang w:eastAsia="en-US"/>
        </w:rPr>
        <w:t xml:space="preserve"> </w:t>
      </w:r>
      <w:r w:rsidR="002C67F2">
        <w:rPr>
          <w:rFonts w:eastAsia="Calibri"/>
          <w:sz w:val="26"/>
          <w:szCs w:val="26"/>
          <w:lang w:eastAsia="en-US"/>
        </w:rPr>
        <w:t>19,0</w:t>
      </w:r>
      <w:r w:rsidR="00A05F58" w:rsidRPr="008737F7">
        <w:rPr>
          <w:rFonts w:eastAsia="Calibri"/>
          <w:sz w:val="26"/>
          <w:szCs w:val="26"/>
          <w:lang w:eastAsia="en-US"/>
        </w:rPr>
        <w:t>% в общих расходах бюджета</w:t>
      </w:r>
      <w:r w:rsidR="00D264CB" w:rsidRPr="008737F7">
        <w:rPr>
          <w:rFonts w:eastAsia="Calibri"/>
          <w:sz w:val="26"/>
          <w:szCs w:val="26"/>
          <w:lang w:eastAsia="en-US"/>
        </w:rPr>
        <w:t xml:space="preserve"> автономного округа</w:t>
      </w:r>
      <w:r w:rsidRPr="008737F7">
        <w:rPr>
          <w:rFonts w:eastAsia="Calibri"/>
          <w:sz w:val="26"/>
          <w:szCs w:val="26"/>
          <w:lang w:eastAsia="en-US"/>
        </w:rPr>
        <w:t>.</w:t>
      </w:r>
    </w:p>
    <w:p w:rsidR="00493703" w:rsidRPr="008737F7" w:rsidRDefault="00D264CB" w:rsidP="00493703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37F7">
        <w:rPr>
          <w:rFonts w:eastAsia="Calibri"/>
          <w:sz w:val="26"/>
          <w:szCs w:val="26"/>
          <w:lang w:eastAsia="en-US"/>
        </w:rPr>
        <w:t>Н</w:t>
      </w:r>
      <w:r w:rsidR="00F971E8" w:rsidRPr="008737F7">
        <w:rPr>
          <w:rFonts w:eastAsia="Calibri"/>
          <w:sz w:val="26"/>
          <w:szCs w:val="26"/>
          <w:lang w:eastAsia="en-US"/>
        </w:rPr>
        <w:t>а финансирование</w:t>
      </w:r>
      <w:r w:rsidR="00493703" w:rsidRPr="008737F7">
        <w:rPr>
          <w:rFonts w:eastAsia="Calibri"/>
          <w:sz w:val="26"/>
          <w:szCs w:val="26"/>
          <w:lang w:eastAsia="en-US"/>
        </w:rPr>
        <w:t xml:space="preserve"> отраслей экономики в 2020 году </w:t>
      </w:r>
      <w:r w:rsidRPr="008737F7">
        <w:rPr>
          <w:rFonts w:eastAsia="Calibri"/>
          <w:sz w:val="26"/>
          <w:szCs w:val="26"/>
          <w:lang w:eastAsia="en-US"/>
        </w:rPr>
        <w:t xml:space="preserve">направлено                     </w:t>
      </w:r>
      <w:r w:rsidR="00F971E8" w:rsidRPr="008737F7">
        <w:rPr>
          <w:rFonts w:eastAsia="Calibri"/>
          <w:sz w:val="26"/>
          <w:szCs w:val="26"/>
          <w:lang w:eastAsia="en-US"/>
        </w:rPr>
        <w:t xml:space="preserve"> </w:t>
      </w:r>
      <w:r w:rsidR="002C67F2">
        <w:rPr>
          <w:rFonts w:eastAsia="Calibri"/>
          <w:sz w:val="26"/>
          <w:szCs w:val="26"/>
          <w:lang w:eastAsia="en-US"/>
        </w:rPr>
        <w:t>53 063 888 235</w:t>
      </w:r>
      <w:r w:rsidR="00493703" w:rsidRPr="008737F7">
        <w:rPr>
          <w:rFonts w:eastAsia="Calibri"/>
          <w:sz w:val="26"/>
          <w:szCs w:val="26"/>
          <w:lang w:eastAsia="en-US"/>
        </w:rPr>
        <w:t xml:space="preserve"> рублей, </w:t>
      </w:r>
      <w:r w:rsidRPr="008737F7">
        <w:rPr>
          <w:rFonts w:eastAsia="Calibri"/>
          <w:sz w:val="26"/>
          <w:szCs w:val="26"/>
          <w:lang w:eastAsia="en-US"/>
        </w:rPr>
        <w:t xml:space="preserve">что составляет </w:t>
      </w:r>
      <w:r w:rsidR="002C67F2">
        <w:rPr>
          <w:rFonts w:eastAsia="Calibri"/>
          <w:sz w:val="26"/>
          <w:szCs w:val="26"/>
          <w:lang w:eastAsia="en-US"/>
        </w:rPr>
        <w:t>19,4</w:t>
      </w:r>
      <w:r w:rsidR="00493703" w:rsidRPr="008737F7">
        <w:rPr>
          <w:rFonts w:eastAsia="Calibri"/>
          <w:sz w:val="26"/>
          <w:szCs w:val="26"/>
          <w:lang w:eastAsia="en-US"/>
        </w:rPr>
        <w:t>% всех расходов</w:t>
      </w:r>
      <w:r w:rsidRPr="008737F7">
        <w:rPr>
          <w:rFonts w:eastAsia="Calibri"/>
          <w:sz w:val="26"/>
          <w:szCs w:val="26"/>
          <w:lang w:eastAsia="en-US"/>
        </w:rPr>
        <w:t xml:space="preserve"> бюджета автономного округа. Прирост данных расходов к прошлому году составил </w:t>
      </w:r>
      <w:r w:rsidR="002C67F2">
        <w:rPr>
          <w:rFonts w:eastAsia="Calibri"/>
          <w:sz w:val="26"/>
          <w:szCs w:val="26"/>
          <w:lang w:eastAsia="en-US"/>
        </w:rPr>
        <w:t>4 000 847 828</w:t>
      </w:r>
      <w:r w:rsidRPr="008737F7">
        <w:rPr>
          <w:rFonts w:eastAsia="Calibri"/>
          <w:sz w:val="26"/>
          <w:szCs w:val="26"/>
          <w:lang w:eastAsia="en-US"/>
        </w:rPr>
        <w:t xml:space="preserve"> рублей, или </w:t>
      </w:r>
      <w:r w:rsidR="002C67F2">
        <w:rPr>
          <w:rFonts w:eastAsia="Calibri"/>
          <w:sz w:val="26"/>
          <w:szCs w:val="26"/>
          <w:lang w:eastAsia="en-US"/>
        </w:rPr>
        <w:t>8,2</w:t>
      </w:r>
      <w:r w:rsidRPr="008737F7">
        <w:rPr>
          <w:rFonts w:eastAsia="Calibri"/>
          <w:sz w:val="26"/>
          <w:szCs w:val="26"/>
          <w:lang w:eastAsia="en-US"/>
        </w:rPr>
        <w:t>%</w:t>
      </w:r>
      <w:r w:rsidR="00F971E8" w:rsidRPr="008737F7">
        <w:rPr>
          <w:rFonts w:eastAsia="Calibri"/>
          <w:sz w:val="26"/>
          <w:szCs w:val="26"/>
          <w:lang w:eastAsia="en-US"/>
        </w:rPr>
        <w:t>.</w:t>
      </w:r>
    </w:p>
    <w:p w:rsidR="00493703" w:rsidRPr="008737F7" w:rsidRDefault="00F971E8" w:rsidP="00493703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728A">
        <w:rPr>
          <w:rFonts w:eastAsia="Calibri"/>
          <w:sz w:val="26"/>
          <w:szCs w:val="26"/>
          <w:lang w:eastAsia="en-US"/>
        </w:rPr>
        <w:t>Расходы</w:t>
      </w:r>
      <w:r w:rsidRPr="008737F7">
        <w:rPr>
          <w:rFonts w:eastAsia="Calibri"/>
          <w:sz w:val="26"/>
          <w:szCs w:val="26"/>
          <w:lang w:eastAsia="en-US"/>
        </w:rPr>
        <w:t xml:space="preserve"> на национальную экономику исполнены </w:t>
      </w:r>
      <w:r w:rsidR="00493703" w:rsidRPr="008737F7">
        <w:rPr>
          <w:rFonts w:eastAsia="Calibri"/>
          <w:sz w:val="26"/>
          <w:szCs w:val="26"/>
          <w:lang w:eastAsia="en-US"/>
        </w:rPr>
        <w:t xml:space="preserve">в сумме </w:t>
      </w:r>
      <w:r w:rsidR="002C67F2">
        <w:rPr>
          <w:rFonts w:eastAsia="Calibri"/>
          <w:sz w:val="26"/>
          <w:szCs w:val="26"/>
          <w:lang w:eastAsia="en-US"/>
        </w:rPr>
        <w:t>28 315 316 595</w:t>
      </w:r>
      <w:r w:rsidR="00493703" w:rsidRPr="008737F7">
        <w:rPr>
          <w:rFonts w:eastAsia="Calibri"/>
          <w:sz w:val="26"/>
          <w:szCs w:val="26"/>
          <w:lang w:eastAsia="en-US"/>
        </w:rPr>
        <w:t xml:space="preserve"> рублей</w:t>
      </w:r>
      <w:r w:rsidRPr="008737F7">
        <w:rPr>
          <w:rFonts w:eastAsia="Calibri"/>
          <w:sz w:val="26"/>
          <w:szCs w:val="26"/>
          <w:lang w:eastAsia="en-US"/>
        </w:rPr>
        <w:t xml:space="preserve">, что составляет </w:t>
      </w:r>
      <w:r w:rsidR="002C67F2">
        <w:rPr>
          <w:rFonts w:eastAsia="Calibri"/>
          <w:sz w:val="26"/>
          <w:szCs w:val="26"/>
          <w:lang w:eastAsia="en-US"/>
        </w:rPr>
        <w:t>10,4</w:t>
      </w:r>
      <w:r w:rsidR="00493703" w:rsidRPr="008737F7">
        <w:rPr>
          <w:rFonts w:eastAsia="Calibri"/>
          <w:sz w:val="26"/>
          <w:szCs w:val="26"/>
          <w:lang w:eastAsia="en-US"/>
        </w:rPr>
        <w:t xml:space="preserve">% </w:t>
      </w:r>
      <w:r w:rsidR="00D264CB" w:rsidRPr="008737F7">
        <w:rPr>
          <w:rFonts w:eastAsia="Calibri"/>
          <w:sz w:val="26"/>
          <w:szCs w:val="26"/>
          <w:lang w:eastAsia="en-US"/>
        </w:rPr>
        <w:t>от</w:t>
      </w:r>
      <w:r w:rsidR="00493703" w:rsidRPr="008737F7">
        <w:rPr>
          <w:rFonts w:eastAsia="Calibri"/>
          <w:sz w:val="26"/>
          <w:szCs w:val="26"/>
          <w:lang w:eastAsia="en-US"/>
        </w:rPr>
        <w:t xml:space="preserve"> общих расходах бюджета</w:t>
      </w:r>
      <w:r w:rsidR="00D264CB" w:rsidRPr="008737F7">
        <w:rPr>
          <w:rFonts w:eastAsia="Calibri"/>
          <w:sz w:val="26"/>
          <w:szCs w:val="26"/>
          <w:lang w:eastAsia="en-US"/>
        </w:rPr>
        <w:t xml:space="preserve"> автономного округа</w:t>
      </w:r>
      <w:r w:rsidR="00493703" w:rsidRPr="008737F7">
        <w:rPr>
          <w:rFonts w:eastAsia="Calibri"/>
          <w:sz w:val="26"/>
          <w:szCs w:val="26"/>
          <w:lang w:eastAsia="en-US"/>
        </w:rPr>
        <w:t>.</w:t>
      </w:r>
    </w:p>
    <w:p w:rsidR="00493703" w:rsidRPr="008737F7" w:rsidRDefault="00D264CB" w:rsidP="00AC378C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37F7">
        <w:rPr>
          <w:rFonts w:eastAsia="Calibri"/>
          <w:sz w:val="26"/>
          <w:szCs w:val="26"/>
          <w:lang w:eastAsia="en-US"/>
        </w:rPr>
        <w:t>Н</w:t>
      </w:r>
      <w:r w:rsidR="00F971E8" w:rsidRPr="008737F7">
        <w:rPr>
          <w:rFonts w:eastAsia="Calibri"/>
          <w:sz w:val="26"/>
          <w:szCs w:val="26"/>
          <w:lang w:eastAsia="en-US"/>
        </w:rPr>
        <w:t xml:space="preserve">а жилищно-коммунальное хозяйство </w:t>
      </w:r>
      <w:r w:rsidRPr="008737F7">
        <w:rPr>
          <w:rFonts w:eastAsia="Calibri"/>
          <w:sz w:val="26"/>
          <w:szCs w:val="26"/>
          <w:lang w:eastAsia="en-US"/>
        </w:rPr>
        <w:t xml:space="preserve">в 2020 году направлено </w:t>
      </w:r>
      <w:r w:rsidR="002C67F2">
        <w:rPr>
          <w:rFonts w:eastAsia="Calibri"/>
          <w:sz w:val="26"/>
          <w:szCs w:val="26"/>
          <w:lang w:eastAsia="en-US"/>
        </w:rPr>
        <w:t>23 563 483 537</w:t>
      </w:r>
      <w:r w:rsidR="00F971E8" w:rsidRPr="008737F7">
        <w:rPr>
          <w:rFonts w:eastAsia="Calibri"/>
          <w:sz w:val="26"/>
          <w:szCs w:val="26"/>
          <w:lang w:eastAsia="en-US"/>
        </w:rPr>
        <w:t xml:space="preserve"> рублей, что составляет </w:t>
      </w:r>
      <w:r w:rsidR="002C67F2">
        <w:rPr>
          <w:rFonts w:eastAsia="Calibri"/>
          <w:sz w:val="26"/>
          <w:szCs w:val="26"/>
          <w:lang w:eastAsia="en-US"/>
        </w:rPr>
        <w:t>8,6</w:t>
      </w:r>
      <w:r w:rsidR="00F971E8" w:rsidRPr="008737F7">
        <w:rPr>
          <w:rFonts w:eastAsia="Calibri"/>
          <w:sz w:val="26"/>
          <w:szCs w:val="26"/>
          <w:lang w:eastAsia="en-US"/>
        </w:rPr>
        <w:t xml:space="preserve">% </w:t>
      </w:r>
      <w:r w:rsidRPr="008737F7">
        <w:rPr>
          <w:rFonts w:eastAsia="Calibri"/>
          <w:sz w:val="26"/>
          <w:szCs w:val="26"/>
          <w:lang w:eastAsia="en-US"/>
        </w:rPr>
        <w:t>от</w:t>
      </w:r>
      <w:r w:rsidR="00F971E8" w:rsidRPr="008737F7">
        <w:rPr>
          <w:rFonts w:eastAsia="Calibri"/>
          <w:sz w:val="26"/>
          <w:szCs w:val="26"/>
          <w:lang w:eastAsia="en-US"/>
        </w:rPr>
        <w:t xml:space="preserve"> общих расходах бюджета</w:t>
      </w:r>
      <w:r w:rsidRPr="008737F7">
        <w:rPr>
          <w:rFonts w:eastAsia="Calibri"/>
          <w:sz w:val="26"/>
          <w:szCs w:val="26"/>
          <w:lang w:eastAsia="en-US"/>
        </w:rPr>
        <w:t xml:space="preserve"> автономного округа</w:t>
      </w:r>
      <w:r w:rsidR="00F971E8" w:rsidRPr="008737F7">
        <w:rPr>
          <w:rFonts w:eastAsia="Calibri"/>
          <w:sz w:val="26"/>
          <w:szCs w:val="26"/>
          <w:lang w:eastAsia="en-US"/>
        </w:rPr>
        <w:t>.</w:t>
      </w:r>
    </w:p>
    <w:p w:rsidR="00AC378C" w:rsidRPr="008737F7" w:rsidRDefault="00AC378C" w:rsidP="00AC378C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737F7">
        <w:rPr>
          <w:rFonts w:ascii="Times New Roman" w:hAnsi="Times New Roman"/>
          <w:sz w:val="26"/>
          <w:szCs w:val="26"/>
        </w:rPr>
        <w:t>Программн</w:t>
      </w:r>
      <w:r w:rsidR="002C67F2">
        <w:rPr>
          <w:rFonts w:ascii="Times New Roman" w:hAnsi="Times New Roman"/>
          <w:sz w:val="26"/>
          <w:szCs w:val="26"/>
        </w:rPr>
        <w:t>ые р</w:t>
      </w:r>
      <w:r w:rsidRPr="008737F7">
        <w:rPr>
          <w:rFonts w:ascii="Times New Roman" w:hAnsi="Times New Roman"/>
          <w:sz w:val="26"/>
          <w:szCs w:val="26"/>
        </w:rPr>
        <w:t xml:space="preserve">асходы </w:t>
      </w:r>
      <w:r w:rsidR="002C67F2">
        <w:rPr>
          <w:rFonts w:ascii="Times New Roman" w:hAnsi="Times New Roman"/>
          <w:sz w:val="26"/>
          <w:szCs w:val="26"/>
        </w:rPr>
        <w:t>б</w:t>
      </w:r>
      <w:r w:rsidRPr="008737F7">
        <w:rPr>
          <w:rFonts w:ascii="Times New Roman" w:hAnsi="Times New Roman"/>
          <w:sz w:val="26"/>
          <w:szCs w:val="26"/>
        </w:rPr>
        <w:t xml:space="preserve">юджета автономного </w:t>
      </w:r>
      <w:r w:rsidR="00CD7C69" w:rsidRPr="008737F7">
        <w:rPr>
          <w:rFonts w:ascii="Times New Roman" w:hAnsi="Times New Roman"/>
          <w:sz w:val="26"/>
          <w:szCs w:val="26"/>
        </w:rPr>
        <w:t>округа за</w:t>
      </w:r>
      <w:r w:rsidRPr="008737F7">
        <w:rPr>
          <w:rFonts w:ascii="Times New Roman" w:hAnsi="Times New Roman"/>
          <w:sz w:val="26"/>
          <w:szCs w:val="26"/>
        </w:rPr>
        <w:t xml:space="preserve"> 2020 год составили</w:t>
      </w:r>
      <w:r w:rsidR="00A7784E" w:rsidRPr="008737F7">
        <w:rPr>
          <w:rFonts w:ascii="Times New Roman" w:hAnsi="Times New Roman"/>
          <w:sz w:val="26"/>
          <w:szCs w:val="26"/>
        </w:rPr>
        <w:t xml:space="preserve"> </w:t>
      </w:r>
      <w:r w:rsidR="00CD7C69">
        <w:rPr>
          <w:rFonts w:ascii="Times New Roman" w:hAnsi="Times New Roman"/>
          <w:sz w:val="26"/>
          <w:szCs w:val="26"/>
        </w:rPr>
        <w:t>98,9</w:t>
      </w:r>
      <w:r w:rsidR="00A7784E" w:rsidRPr="008737F7">
        <w:rPr>
          <w:rFonts w:ascii="Times New Roman" w:hAnsi="Times New Roman"/>
          <w:sz w:val="26"/>
          <w:szCs w:val="26"/>
        </w:rPr>
        <w:t xml:space="preserve">% </w:t>
      </w:r>
      <w:r w:rsidRPr="008737F7">
        <w:rPr>
          <w:rFonts w:ascii="Times New Roman" w:hAnsi="Times New Roman"/>
          <w:sz w:val="26"/>
          <w:szCs w:val="26"/>
        </w:rPr>
        <w:t>от общих расходов бюджета</w:t>
      </w:r>
      <w:r w:rsidR="00D264CB" w:rsidRPr="008737F7">
        <w:rPr>
          <w:rFonts w:ascii="Times New Roman" w:hAnsi="Times New Roman"/>
          <w:sz w:val="26"/>
          <w:szCs w:val="26"/>
        </w:rPr>
        <w:t xml:space="preserve"> автономного округа или</w:t>
      </w:r>
      <w:r w:rsidRPr="008737F7">
        <w:rPr>
          <w:rFonts w:ascii="Times New Roman" w:hAnsi="Times New Roman"/>
          <w:sz w:val="26"/>
          <w:szCs w:val="26"/>
        </w:rPr>
        <w:t xml:space="preserve"> </w:t>
      </w:r>
      <w:r w:rsidR="00CD7C69">
        <w:rPr>
          <w:rFonts w:ascii="Times New Roman" w:hAnsi="Times New Roman"/>
          <w:sz w:val="26"/>
          <w:szCs w:val="26"/>
        </w:rPr>
        <w:t>269 803 541 352</w:t>
      </w:r>
      <w:r w:rsidR="00A7784E" w:rsidRPr="008737F7">
        <w:rPr>
          <w:rFonts w:ascii="Times New Roman" w:hAnsi="Times New Roman"/>
          <w:sz w:val="26"/>
          <w:szCs w:val="26"/>
        </w:rPr>
        <w:t xml:space="preserve"> </w:t>
      </w:r>
      <w:r w:rsidR="00CD7C69">
        <w:rPr>
          <w:rFonts w:ascii="Times New Roman" w:hAnsi="Times New Roman"/>
          <w:sz w:val="26"/>
          <w:szCs w:val="26"/>
        </w:rPr>
        <w:t>рубля</w:t>
      </w:r>
      <w:r w:rsidRPr="008737F7">
        <w:rPr>
          <w:rFonts w:ascii="Times New Roman" w:hAnsi="Times New Roman"/>
          <w:sz w:val="26"/>
          <w:szCs w:val="26"/>
        </w:rPr>
        <w:t>.</w:t>
      </w:r>
    </w:p>
    <w:p w:rsidR="00016076" w:rsidRPr="008737F7" w:rsidRDefault="00016076" w:rsidP="00016076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37F7">
        <w:rPr>
          <w:rFonts w:eastAsia="Calibri"/>
          <w:sz w:val="26"/>
          <w:szCs w:val="26"/>
          <w:lang w:eastAsia="en-US"/>
        </w:rPr>
        <w:t>В 2020 году Ханты-Мансийский автономный округ - Югра участвовал в реализации 11 из 12 национальных проектов, определенных в Указе Президента Российской Федерации от 7 мая 2018 года № 204 «О национальных целях и стратегических задачах развития Российской Федерации на период до 2024 года».</w:t>
      </w:r>
    </w:p>
    <w:p w:rsidR="00016076" w:rsidRPr="00016076" w:rsidRDefault="00016076" w:rsidP="00016076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8737F7">
        <w:rPr>
          <w:rFonts w:eastAsia="Calibri"/>
          <w:sz w:val="26"/>
          <w:szCs w:val="26"/>
          <w:lang w:eastAsia="en-US"/>
        </w:rPr>
        <w:t xml:space="preserve">В 17 государственных программах автономного округа осуществлялись </w:t>
      </w:r>
      <w:r w:rsidRPr="00016076">
        <w:rPr>
          <w:rFonts w:eastAsia="Calibri"/>
          <w:sz w:val="26"/>
          <w:szCs w:val="26"/>
          <w:lang w:eastAsia="en-US"/>
        </w:rPr>
        <w:t>расходы на реализацию мероприятий 42 региональных проектов, направленных на достижение результатов и целевых показателей федеральных (национальных) проектов (далее также – региональный проект).</w:t>
      </w:r>
    </w:p>
    <w:p w:rsidR="004F447F" w:rsidRDefault="00AC378C" w:rsidP="004F447F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Исполнение расходов</w:t>
      </w:r>
      <w:r w:rsidR="00CD7C69">
        <w:rPr>
          <w:rFonts w:eastAsia="Calibri"/>
          <w:sz w:val="26"/>
          <w:szCs w:val="26"/>
          <w:lang w:eastAsia="en-US"/>
        </w:rPr>
        <w:t xml:space="preserve"> бюджета автономного округа</w:t>
      </w:r>
      <w:r>
        <w:rPr>
          <w:rFonts w:eastAsia="Calibri"/>
          <w:sz w:val="26"/>
          <w:szCs w:val="26"/>
          <w:lang w:eastAsia="en-US"/>
        </w:rPr>
        <w:t xml:space="preserve"> на р</w:t>
      </w:r>
      <w:r w:rsidR="00D264CB">
        <w:rPr>
          <w:rFonts w:eastAsia="Calibri"/>
          <w:sz w:val="26"/>
          <w:szCs w:val="26"/>
          <w:lang w:eastAsia="en-US"/>
        </w:rPr>
        <w:t>еализацию региональных проектов</w:t>
      </w:r>
      <w:r w:rsidR="004F447F">
        <w:rPr>
          <w:rFonts w:eastAsia="Calibri"/>
          <w:sz w:val="26"/>
          <w:szCs w:val="26"/>
          <w:lang w:eastAsia="en-US"/>
        </w:rPr>
        <w:t xml:space="preserve"> по итогам 2020 года составило в сумме </w:t>
      </w:r>
      <w:r w:rsidR="00CD7C69">
        <w:rPr>
          <w:rFonts w:eastAsia="Calibri"/>
          <w:sz w:val="26"/>
          <w:szCs w:val="26"/>
          <w:lang w:eastAsia="en-US"/>
        </w:rPr>
        <w:t>29 305 538 578</w:t>
      </w:r>
      <w:r w:rsidR="004F447F">
        <w:rPr>
          <w:rFonts w:eastAsia="Calibri"/>
          <w:sz w:val="26"/>
          <w:szCs w:val="26"/>
          <w:lang w:eastAsia="en-US"/>
        </w:rPr>
        <w:t xml:space="preserve"> рублей, в том числе </w:t>
      </w:r>
      <w:r w:rsidR="004F447F" w:rsidRPr="004F447F">
        <w:rPr>
          <w:rFonts w:eastAsia="Calibri"/>
          <w:sz w:val="26"/>
          <w:szCs w:val="26"/>
          <w:lang w:eastAsia="en-US"/>
        </w:rPr>
        <w:t>за сч</w:t>
      </w:r>
      <w:r w:rsidR="004F447F">
        <w:rPr>
          <w:rFonts w:eastAsia="Calibri"/>
          <w:sz w:val="26"/>
          <w:szCs w:val="26"/>
          <w:lang w:eastAsia="en-US"/>
        </w:rPr>
        <w:t>ет средств федерального бюджета в сумме 5 798 430 </w:t>
      </w:r>
      <w:r w:rsidR="00CD7C69">
        <w:rPr>
          <w:rFonts w:eastAsia="Calibri"/>
          <w:sz w:val="26"/>
          <w:szCs w:val="26"/>
          <w:lang w:eastAsia="en-US"/>
        </w:rPr>
        <w:t xml:space="preserve">773 </w:t>
      </w:r>
      <w:r w:rsidR="00CD7C69">
        <w:rPr>
          <w:rFonts w:eastAsia="Calibri"/>
          <w:sz w:val="26"/>
          <w:szCs w:val="26"/>
          <w:lang w:eastAsia="en-US"/>
        </w:rPr>
        <w:lastRenderedPageBreak/>
        <w:t>рубля</w:t>
      </w:r>
      <w:r w:rsidR="004F447F" w:rsidRPr="004F447F">
        <w:rPr>
          <w:rFonts w:eastAsia="Calibri"/>
          <w:sz w:val="26"/>
          <w:szCs w:val="26"/>
          <w:lang w:eastAsia="en-US"/>
        </w:rPr>
        <w:t>, за счет средств бюджета Тюменской области по государственной программе «Сотрудничество» в сумме 2 115 775 </w:t>
      </w:r>
      <w:r w:rsidR="00CD7C69">
        <w:rPr>
          <w:rFonts w:eastAsia="Calibri"/>
          <w:sz w:val="26"/>
          <w:szCs w:val="26"/>
          <w:lang w:eastAsia="en-US"/>
        </w:rPr>
        <w:t>476</w:t>
      </w:r>
      <w:r w:rsidR="004F447F" w:rsidRPr="004F447F">
        <w:rPr>
          <w:rFonts w:eastAsia="Calibri"/>
          <w:sz w:val="26"/>
          <w:szCs w:val="26"/>
          <w:lang w:eastAsia="en-US"/>
        </w:rPr>
        <w:t xml:space="preserve"> рублей, за счет средств государственной корпорации – Фонда содействия реформированию жилищно-коммунального хозяйства </w:t>
      </w:r>
      <w:r w:rsidR="004F447F">
        <w:rPr>
          <w:rFonts w:eastAsia="Calibri"/>
          <w:sz w:val="26"/>
          <w:szCs w:val="26"/>
          <w:lang w:eastAsia="en-US"/>
        </w:rPr>
        <w:t xml:space="preserve">в </w:t>
      </w:r>
      <w:r w:rsidR="00CD7C69">
        <w:rPr>
          <w:rFonts w:eastAsia="Calibri"/>
          <w:sz w:val="26"/>
          <w:szCs w:val="26"/>
          <w:lang w:eastAsia="en-US"/>
        </w:rPr>
        <w:t>сумме 976</w:t>
      </w:r>
      <w:r w:rsidR="004F447F">
        <w:rPr>
          <w:rFonts w:eastAsia="Calibri"/>
          <w:sz w:val="26"/>
          <w:szCs w:val="26"/>
          <w:lang w:eastAsia="en-US"/>
        </w:rPr>
        <w:t> 010 4</w:t>
      </w:r>
      <w:r w:rsidR="00CD7C69">
        <w:rPr>
          <w:rFonts w:eastAsia="Calibri"/>
          <w:sz w:val="26"/>
          <w:szCs w:val="26"/>
          <w:lang w:eastAsia="en-US"/>
        </w:rPr>
        <w:t>35</w:t>
      </w:r>
      <w:r w:rsidR="004F447F" w:rsidRPr="004F447F">
        <w:rPr>
          <w:rFonts w:eastAsia="Calibri"/>
          <w:sz w:val="26"/>
          <w:szCs w:val="26"/>
          <w:lang w:eastAsia="en-US"/>
        </w:rPr>
        <w:t xml:space="preserve"> рублей</w:t>
      </w:r>
      <w:r w:rsidR="004F447F">
        <w:rPr>
          <w:rFonts w:eastAsia="Calibri"/>
          <w:sz w:val="26"/>
          <w:szCs w:val="26"/>
          <w:lang w:eastAsia="en-US"/>
        </w:rPr>
        <w:t>.</w:t>
      </w:r>
    </w:p>
    <w:p w:rsidR="004F447F" w:rsidRDefault="004F447F" w:rsidP="00AC378C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расходах </w:t>
      </w:r>
      <w:r w:rsidR="00CD7C69">
        <w:rPr>
          <w:rFonts w:eastAsia="Calibri"/>
          <w:sz w:val="26"/>
          <w:szCs w:val="26"/>
          <w:lang w:eastAsia="en-US"/>
        </w:rPr>
        <w:t>б</w:t>
      </w:r>
      <w:r>
        <w:rPr>
          <w:rFonts w:eastAsia="Calibri"/>
          <w:sz w:val="26"/>
          <w:szCs w:val="26"/>
          <w:lang w:eastAsia="en-US"/>
        </w:rPr>
        <w:t>юджета</w:t>
      </w:r>
      <w:r w:rsidR="00E9768F">
        <w:rPr>
          <w:rFonts w:eastAsia="Calibri"/>
          <w:sz w:val="26"/>
          <w:szCs w:val="26"/>
          <w:lang w:eastAsia="en-US"/>
        </w:rPr>
        <w:t xml:space="preserve"> автономного округа </w:t>
      </w:r>
      <w:r>
        <w:rPr>
          <w:rFonts w:eastAsia="Calibri"/>
          <w:sz w:val="26"/>
          <w:szCs w:val="26"/>
          <w:lang w:eastAsia="en-US"/>
        </w:rPr>
        <w:t>на ре</w:t>
      </w:r>
      <w:r w:rsidR="00E9768F">
        <w:rPr>
          <w:rFonts w:eastAsia="Calibri"/>
          <w:sz w:val="26"/>
          <w:szCs w:val="26"/>
          <w:lang w:eastAsia="en-US"/>
        </w:rPr>
        <w:t xml:space="preserve">ализацию региональных проектов </w:t>
      </w:r>
      <w:r>
        <w:rPr>
          <w:rFonts w:eastAsia="Calibri"/>
          <w:sz w:val="26"/>
          <w:szCs w:val="26"/>
          <w:lang w:eastAsia="en-US"/>
        </w:rPr>
        <w:t xml:space="preserve">наибольший объем средств, занимают расходы </w:t>
      </w:r>
      <w:r w:rsidR="00E9768F">
        <w:rPr>
          <w:rFonts w:eastAsia="Calibri"/>
          <w:sz w:val="26"/>
          <w:szCs w:val="26"/>
          <w:lang w:eastAsia="en-US"/>
        </w:rPr>
        <w:t>в рамках</w:t>
      </w:r>
      <w:r>
        <w:rPr>
          <w:rFonts w:eastAsia="Calibri"/>
          <w:sz w:val="26"/>
          <w:szCs w:val="26"/>
          <w:lang w:eastAsia="en-US"/>
        </w:rPr>
        <w:t>:</w:t>
      </w:r>
    </w:p>
    <w:p w:rsidR="00AC378C" w:rsidRDefault="004F447F" w:rsidP="00CD2602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- национального проекта «Демография»</w:t>
      </w:r>
      <w:r w:rsidR="00E9768F">
        <w:rPr>
          <w:rFonts w:eastAsia="Calibri"/>
          <w:sz w:val="26"/>
          <w:szCs w:val="26"/>
          <w:lang w:eastAsia="en-US"/>
        </w:rPr>
        <w:t xml:space="preserve"> в сумме</w:t>
      </w:r>
      <w:r w:rsidR="00D264CB">
        <w:rPr>
          <w:rFonts w:eastAsia="Calibri"/>
          <w:sz w:val="26"/>
          <w:szCs w:val="26"/>
          <w:lang w:eastAsia="en-US"/>
        </w:rPr>
        <w:t xml:space="preserve"> </w:t>
      </w:r>
      <w:r w:rsidR="00CD7C69">
        <w:rPr>
          <w:rFonts w:eastAsia="Calibri"/>
          <w:sz w:val="26"/>
          <w:szCs w:val="26"/>
          <w:lang w:eastAsia="en-US"/>
        </w:rPr>
        <w:t>8 759 485 569</w:t>
      </w:r>
      <w:r w:rsidR="00D264CB">
        <w:rPr>
          <w:rFonts w:eastAsia="Calibri"/>
          <w:sz w:val="26"/>
          <w:szCs w:val="26"/>
          <w:lang w:eastAsia="en-US"/>
        </w:rPr>
        <w:t xml:space="preserve"> рублей (</w:t>
      </w:r>
      <w:r w:rsidR="00CD7C69">
        <w:rPr>
          <w:rFonts w:eastAsia="Calibri"/>
          <w:sz w:val="26"/>
          <w:szCs w:val="26"/>
          <w:lang w:eastAsia="en-US"/>
        </w:rPr>
        <w:t>29,9</w:t>
      </w:r>
      <w:r w:rsidR="00D264CB">
        <w:rPr>
          <w:rFonts w:eastAsia="Calibri"/>
          <w:sz w:val="26"/>
          <w:szCs w:val="26"/>
          <w:lang w:eastAsia="en-US"/>
        </w:rPr>
        <w:t>% в общих расходах</w:t>
      </w:r>
      <w:r>
        <w:rPr>
          <w:rFonts w:eastAsia="Calibri"/>
          <w:sz w:val="26"/>
          <w:szCs w:val="26"/>
          <w:lang w:eastAsia="en-US"/>
        </w:rPr>
        <w:t xml:space="preserve"> на реализацию региональных проектов)</w:t>
      </w:r>
      <w:r w:rsidR="00E9768F">
        <w:rPr>
          <w:rFonts w:eastAsia="Calibri"/>
          <w:sz w:val="26"/>
          <w:szCs w:val="26"/>
          <w:lang w:eastAsia="en-US"/>
        </w:rPr>
        <w:t>. С</w:t>
      </w:r>
      <w:r>
        <w:rPr>
          <w:rFonts w:eastAsia="Calibri"/>
          <w:sz w:val="26"/>
          <w:szCs w:val="26"/>
          <w:lang w:eastAsia="en-US"/>
        </w:rPr>
        <w:t xml:space="preserve">редства </w:t>
      </w:r>
      <w:r w:rsidR="00E9768F">
        <w:rPr>
          <w:rFonts w:eastAsia="Calibri"/>
          <w:sz w:val="26"/>
          <w:szCs w:val="26"/>
          <w:lang w:eastAsia="en-US"/>
        </w:rPr>
        <w:t xml:space="preserve">были </w:t>
      </w:r>
      <w:r>
        <w:rPr>
          <w:rFonts w:eastAsia="Calibri"/>
          <w:sz w:val="26"/>
          <w:szCs w:val="26"/>
          <w:lang w:eastAsia="en-US"/>
        </w:rPr>
        <w:t xml:space="preserve">направленны </w:t>
      </w:r>
      <w:r w:rsidRPr="00CD2602">
        <w:rPr>
          <w:rFonts w:eastAsia="Calibri"/>
          <w:sz w:val="26"/>
          <w:szCs w:val="26"/>
          <w:lang w:eastAsia="en-US"/>
        </w:rPr>
        <w:t xml:space="preserve">на </w:t>
      </w:r>
      <w:r w:rsidR="00CD2602" w:rsidRPr="00CD2602">
        <w:rPr>
          <w:rFonts w:eastAsia="Calibri"/>
          <w:sz w:val="26"/>
          <w:szCs w:val="26"/>
          <w:lang w:eastAsia="en-US"/>
        </w:rPr>
        <w:t>обеспечение выплат семьям с детьми (ежемесячные выплаты в связи с рождением первого ребенка, ежемесячные денежные выплаты в случае рождения третьего и последующих детей, ежемесячные выпла</w:t>
      </w:r>
      <w:r w:rsidR="00E9768F">
        <w:rPr>
          <w:rFonts w:eastAsia="Calibri"/>
          <w:sz w:val="26"/>
          <w:szCs w:val="26"/>
          <w:lang w:eastAsia="en-US"/>
        </w:rPr>
        <w:t>ты многодетным семьям и другие),</w:t>
      </w:r>
      <w:r w:rsidR="00CD2602" w:rsidRPr="00CD2602">
        <w:rPr>
          <w:rFonts w:eastAsia="Calibri"/>
          <w:sz w:val="26"/>
          <w:szCs w:val="26"/>
          <w:lang w:eastAsia="en-US"/>
        </w:rPr>
        <w:t xml:space="preserve"> </w:t>
      </w:r>
      <w:r w:rsidR="00D264CB">
        <w:rPr>
          <w:rFonts w:eastAsia="Calibri"/>
          <w:sz w:val="26"/>
          <w:szCs w:val="26"/>
          <w:lang w:eastAsia="en-US"/>
        </w:rPr>
        <w:t>с</w:t>
      </w:r>
      <w:r w:rsidR="00D264CB" w:rsidRPr="00D264CB">
        <w:rPr>
          <w:rFonts w:eastAsia="Calibri"/>
          <w:sz w:val="26"/>
          <w:szCs w:val="26"/>
          <w:lang w:eastAsia="en-US"/>
        </w:rPr>
        <w:t>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  <w:r w:rsidR="00CD2602" w:rsidRPr="00D264CB">
        <w:rPr>
          <w:rFonts w:eastAsia="Calibri"/>
          <w:sz w:val="26"/>
          <w:szCs w:val="26"/>
          <w:lang w:eastAsia="en-US"/>
        </w:rPr>
        <w:t>;</w:t>
      </w:r>
    </w:p>
    <w:p w:rsidR="004F447F" w:rsidRPr="00043292" w:rsidRDefault="004F447F" w:rsidP="00043292">
      <w:pPr>
        <w:pStyle w:val="a7"/>
        <w:spacing w:beforeAutospacing="0" w:after="0" w:afterAutospacing="0" w:line="360" w:lineRule="auto"/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  <w:lang w:eastAsia="en-US"/>
        </w:rPr>
        <w:t>- национального проекта «Безопасные и качественные автомобильные дороги»</w:t>
      </w:r>
      <w:r w:rsidR="00E9768F">
        <w:rPr>
          <w:rFonts w:eastAsia="Calibri"/>
          <w:sz w:val="26"/>
          <w:szCs w:val="26"/>
          <w:lang w:eastAsia="en-US"/>
        </w:rPr>
        <w:t xml:space="preserve"> в </w:t>
      </w:r>
      <w:r w:rsidR="00CD7C69">
        <w:rPr>
          <w:rFonts w:eastAsia="Calibri"/>
          <w:sz w:val="26"/>
          <w:szCs w:val="26"/>
          <w:lang w:eastAsia="en-US"/>
        </w:rPr>
        <w:t>сумме 7 394 610 838</w:t>
      </w:r>
      <w:r>
        <w:rPr>
          <w:rFonts w:eastAsia="Calibri"/>
          <w:sz w:val="26"/>
          <w:szCs w:val="26"/>
          <w:lang w:eastAsia="en-US"/>
        </w:rPr>
        <w:t xml:space="preserve"> рублей (</w:t>
      </w:r>
      <w:r w:rsidR="00CD7C69">
        <w:rPr>
          <w:rFonts w:eastAsia="Calibri"/>
          <w:sz w:val="26"/>
          <w:szCs w:val="26"/>
          <w:lang w:eastAsia="en-US"/>
        </w:rPr>
        <w:t>25,2</w:t>
      </w:r>
      <w:r>
        <w:rPr>
          <w:rFonts w:eastAsia="Calibri"/>
          <w:sz w:val="26"/>
          <w:szCs w:val="26"/>
          <w:lang w:eastAsia="en-US"/>
        </w:rPr>
        <w:t xml:space="preserve">% </w:t>
      </w:r>
      <w:r w:rsidR="00D264CB">
        <w:rPr>
          <w:rFonts w:eastAsia="Calibri"/>
          <w:sz w:val="26"/>
          <w:szCs w:val="26"/>
          <w:lang w:eastAsia="en-US"/>
        </w:rPr>
        <w:t>в общих расходах</w:t>
      </w:r>
      <w:r>
        <w:rPr>
          <w:rFonts w:eastAsia="Calibri"/>
          <w:sz w:val="26"/>
          <w:szCs w:val="26"/>
          <w:lang w:eastAsia="en-US"/>
        </w:rPr>
        <w:t xml:space="preserve"> на реализацию региональных проектов)</w:t>
      </w:r>
      <w:r w:rsidR="00E9768F">
        <w:rPr>
          <w:rFonts w:eastAsia="Calibri"/>
          <w:sz w:val="26"/>
          <w:szCs w:val="26"/>
          <w:lang w:eastAsia="en-US"/>
        </w:rPr>
        <w:t>. С</w:t>
      </w:r>
      <w:r>
        <w:rPr>
          <w:rFonts w:eastAsia="Calibri"/>
          <w:sz w:val="26"/>
          <w:szCs w:val="26"/>
          <w:lang w:eastAsia="en-US"/>
        </w:rPr>
        <w:t>редства</w:t>
      </w:r>
      <w:r w:rsidR="00E9768F">
        <w:rPr>
          <w:rFonts w:eastAsia="Calibri"/>
          <w:sz w:val="26"/>
          <w:szCs w:val="26"/>
          <w:lang w:eastAsia="en-US"/>
        </w:rPr>
        <w:t xml:space="preserve"> были</w:t>
      </w:r>
      <w:r>
        <w:rPr>
          <w:rFonts w:eastAsia="Calibri"/>
          <w:sz w:val="26"/>
          <w:szCs w:val="26"/>
          <w:lang w:eastAsia="en-US"/>
        </w:rPr>
        <w:t xml:space="preserve"> направленны на </w:t>
      </w:r>
      <w:r w:rsidR="00043292">
        <w:rPr>
          <w:rFonts w:eastAsia="Calibri"/>
          <w:sz w:val="26"/>
          <w:szCs w:val="26"/>
          <w:lang w:eastAsia="en-US"/>
        </w:rPr>
        <w:t>с</w:t>
      </w:r>
      <w:r w:rsidR="00043292" w:rsidRPr="00043292">
        <w:rPr>
          <w:sz w:val="26"/>
          <w:szCs w:val="26"/>
        </w:rPr>
        <w:t>троительство и реконструкци</w:t>
      </w:r>
      <w:r w:rsidR="00E9768F">
        <w:rPr>
          <w:sz w:val="26"/>
          <w:szCs w:val="26"/>
        </w:rPr>
        <w:t>ю</w:t>
      </w:r>
      <w:r w:rsidR="00043292" w:rsidRPr="00043292">
        <w:rPr>
          <w:sz w:val="26"/>
          <w:szCs w:val="26"/>
        </w:rPr>
        <w:t xml:space="preserve"> автомобильных дорог общего пользования, в том числе дорог местного значения</w:t>
      </w:r>
      <w:r w:rsidR="00043292">
        <w:rPr>
          <w:sz w:val="26"/>
          <w:szCs w:val="26"/>
        </w:rPr>
        <w:t>;</w:t>
      </w:r>
      <w:r w:rsidR="00043292" w:rsidRPr="00043292">
        <w:rPr>
          <w:sz w:val="26"/>
          <w:szCs w:val="26"/>
        </w:rPr>
        <w:t xml:space="preserve"> </w:t>
      </w:r>
      <w:r w:rsidR="00043292">
        <w:rPr>
          <w:sz w:val="26"/>
          <w:szCs w:val="26"/>
        </w:rPr>
        <w:t>к</w:t>
      </w:r>
      <w:r w:rsidR="00043292" w:rsidRPr="00043292">
        <w:rPr>
          <w:sz w:val="26"/>
          <w:szCs w:val="26"/>
        </w:rPr>
        <w:t>апитальный ремонт, ремонт и содержание автомоб</w:t>
      </w:r>
      <w:r w:rsidR="00043292">
        <w:rPr>
          <w:sz w:val="26"/>
          <w:szCs w:val="26"/>
        </w:rPr>
        <w:t>ильных дорог общего пользования</w:t>
      </w:r>
      <w:r w:rsidR="00043292" w:rsidRPr="00043292">
        <w:rPr>
          <w:sz w:val="26"/>
          <w:szCs w:val="26"/>
        </w:rPr>
        <w:t>, в том числе дорог местного значения</w:t>
      </w:r>
      <w:r w:rsidR="00CD2602">
        <w:rPr>
          <w:rFonts w:eastAsia="Calibri"/>
          <w:sz w:val="26"/>
          <w:szCs w:val="26"/>
          <w:lang w:eastAsia="en-US"/>
        </w:rPr>
        <w:t>;</w:t>
      </w:r>
    </w:p>
    <w:p w:rsidR="004F447F" w:rsidRDefault="004F447F" w:rsidP="00EB77E5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национального проекта «Жилье и городская среда» </w:t>
      </w:r>
      <w:r w:rsidR="00E9768F">
        <w:rPr>
          <w:rFonts w:eastAsia="Calibri"/>
          <w:sz w:val="26"/>
          <w:szCs w:val="26"/>
          <w:lang w:eastAsia="en-US"/>
        </w:rPr>
        <w:t xml:space="preserve">в сумме </w:t>
      </w:r>
      <w:r w:rsidR="00613A5B">
        <w:rPr>
          <w:rFonts w:eastAsia="Calibri"/>
          <w:sz w:val="26"/>
          <w:szCs w:val="26"/>
          <w:lang w:eastAsia="en-US"/>
        </w:rPr>
        <w:t>5 755 087 286</w:t>
      </w:r>
      <w:r>
        <w:rPr>
          <w:rFonts w:eastAsia="Calibri"/>
          <w:sz w:val="26"/>
          <w:szCs w:val="26"/>
          <w:lang w:eastAsia="en-US"/>
        </w:rPr>
        <w:t xml:space="preserve"> рублей (</w:t>
      </w:r>
      <w:r w:rsidR="00613A5B">
        <w:rPr>
          <w:rFonts w:eastAsia="Calibri"/>
          <w:sz w:val="26"/>
          <w:szCs w:val="26"/>
          <w:lang w:eastAsia="en-US"/>
        </w:rPr>
        <w:t>19,6</w:t>
      </w:r>
      <w:r>
        <w:rPr>
          <w:rFonts w:eastAsia="Calibri"/>
          <w:sz w:val="26"/>
          <w:szCs w:val="26"/>
          <w:lang w:eastAsia="en-US"/>
        </w:rPr>
        <w:t xml:space="preserve">% </w:t>
      </w:r>
      <w:r w:rsidR="00D264CB">
        <w:rPr>
          <w:rFonts w:eastAsia="Calibri"/>
          <w:sz w:val="26"/>
          <w:szCs w:val="26"/>
          <w:lang w:eastAsia="en-US"/>
        </w:rPr>
        <w:t>в общих расходах</w:t>
      </w:r>
      <w:r>
        <w:rPr>
          <w:rFonts w:eastAsia="Calibri"/>
          <w:sz w:val="26"/>
          <w:szCs w:val="26"/>
          <w:lang w:eastAsia="en-US"/>
        </w:rPr>
        <w:t xml:space="preserve"> на реализацию региональных проектов)</w:t>
      </w:r>
      <w:r w:rsidR="00E9768F">
        <w:rPr>
          <w:rFonts w:eastAsia="Calibri"/>
          <w:sz w:val="26"/>
          <w:szCs w:val="26"/>
          <w:lang w:eastAsia="en-US"/>
        </w:rPr>
        <w:t>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="00E9768F">
        <w:rPr>
          <w:rFonts w:eastAsia="Calibri"/>
          <w:sz w:val="26"/>
          <w:szCs w:val="26"/>
          <w:lang w:eastAsia="en-US"/>
        </w:rPr>
        <w:t>С</w:t>
      </w:r>
      <w:r>
        <w:rPr>
          <w:rFonts w:eastAsia="Calibri"/>
          <w:sz w:val="26"/>
          <w:szCs w:val="26"/>
          <w:lang w:eastAsia="en-US"/>
        </w:rPr>
        <w:t xml:space="preserve">редства </w:t>
      </w:r>
      <w:r w:rsidR="00E9768F">
        <w:rPr>
          <w:rFonts w:eastAsia="Calibri"/>
          <w:sz w:val="26"/>
          <w:szCs w:val="26"/>
          <w:lang w:eastAsia="en-US"/>
        </w:rPr>
        <w:t xml:space="preserve">были </w:t>
      </w:r>
      <w:r>
        <w:rPr>
          <w:rFonts w:eastAsia="Calibri"/>
          <w:sz w:val="26"/>
          <w:szCs w:val="26"/>
          <w:lang w:eastAsia="en-US"/>
        </w:rPr>
        <w:t xml:space="preserve">направленны на </w:t>
      </w:r>
      <w:r w:rsidR="00EB77E5">
        <w:rPr>
          <w:rFonts w:eastAsia="Calibri"/>
          <w:sz w:val="26"/>
          <w:szCs w:val="26"/>
          <w:lang w:eastAsia="en-US"/>
        </w:rPr>
        <w:t>о</w:t>
      </w:r>
      <w:r w:rsidR="00EB77E5" w:rsidRPr="00EB77E5">
        <w:rPr>
          <w:rFonts w:eastAsia="Calibri"/>
          <w:sz w:val="26"/>
          <w:szCs w:val="26"/>
          <w:lang w:eastAsia="en-US"/>
        </w:rPr>
        <w:t>казание поддержки муниципальным образованиям автономного округа по формированию жилищных фондов для расселения граждан из аварийного жилья, признанного таковым до 1 января 2017 года в установленном порядке аварийным и подлежащим сносу или реконструкции в связи с физическим износом в процессе эксплуатации</w:t>
      </w:r>
      <w:r w:rsidR="00EB77E5">
        <w:rPr>
          <w:rFonts w:eastAsia="Calibri"/>
          <w:sz w:val="26"/>
          <w:szCs w:val="26"/>
          <w:lang w:eastAsia="en-US"/>
        </w:rPr>
        <w:t>;</w:t>
      </w:r>
      <w:r w:rsidR="00EB77E5" w:rsidRPr="00EB77E5">
        <w:rPr>
          <w:rFonts w:eastAsia="Calibri"/>
          <w:sz w:val="26"/>
          <w:szCs w:val="26"/>
          <w:lang w:eastAsia="en-US"/>
        </w:rPr>
        <w:t xml:space="preserve"> реализацию мероприятий по благоустройству населенных пунктов</w:t>
      </w:r>
      <w:r>
        <w:rPr>
          <w:rFonts w:eastAsia="Calibri"/>
          <w:sz w:val="26"/>
          <w:szCs w:val="26"/>
          <w:lang w:eastAsia="en-US"/>
        </w:rPr>
        <w:t>;</w:t>
      </w:r>
      <w:r w:rsidR="00E9768F" w:rsidRPr="00E9768F">
        <w:rPr>
          <w:rFonts w:eastAsia="Calibri"/>
          <w:sz w:val="26"/>
          <w:szCs w:val="26"/>
          <w:lang w:eastAsia="en-US"/>
        </w:rPr>
        <w:t xml:space="preserve"> </w:t>
      </w:r>
      <w:r w:rsidR="00E9768F" w:rsidRPr="00EB77E5">
        <w:rPr>
          <w:rFonts w:eastAsia="Calibri"/>
          <w:sz w:val="26"/>
          <w:szCs w:val="26"/>
          <w:lang w:eastAsia="en-US"/>
        </w:rPr>
        <w:t>строительство (реконструкцию) автомобильных дорог общего пользования местного значения при реализации проектов по развитию территорий предусматривающих строительство жилья</w:t>
      </w:r>
      <w:r w:rsidR="00E9768F">
        <w:rPr>
          <w:rFonts w:eastAsia="Calibri"/>
          <w:sz w:val="26"/>
          <w:szCs w:val="26"/>
          <w:lang w:eastAsia="en-US"/>
        </w:rPr>
        <w:t>;</w:t>
      </w:r>
      <w:r w:rsidR="00E9768F" w:rsidRPr="00EB77E5">
        <w:rPr>
          <w:rFonts w:eastAsia="Calibri"/>
          <w:sz w:val="26"/>
          <w:szCs w:val="26"/>
          <w:lang w:eastAsia="en-US"/>
        </w:rPr>
        <w:t xml:space="preserve">  </w:t>
      </w:r>
    </w:p>
    <w:p w:rsidR="00DF157D" w:rsidRDefault="00043292" w:rsidP="00DF157D">
      <w:pPr>
        <w:pStyle w:val="a7"/>
        <w:spacing w:beforeAutospacing="0" w:after="0" w:afterAutospacing="0"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F157D">
        <w:rPr>
          <w:rFonts w:eastAsia="Calibri"/>
          <w:sz w:val="26"/>
          <w:szCs w:val="26"/>
          <w:lang w:eastAsia="en-US"/>
        </w:rPr>
        <w:t xml:space="preserve">- </w:t>
      </w:r>
      <w:r w:rsidR="004F447F" w:rsidRPr="00DF157D">
        <w:rPr>
          <w:rFonts w:eastAsia="Calibri"/>
          <w:sz w:val="26"/>
          <w:szCs w:val="26"/>
          <w:lang w:eastAsia="en-US"/>
        </w:rPr>
        <w:t xml:space="preserve">национального проекта «Образование» </w:t>
      </w:r>
      <w:r w:rsidR="00E9768F">
        <w:rPr>
          <w:rFonts w:eastAsia="Calibri"/>
          <w:sz w:val="26"/>
          <w:szCs w:val="26"/>
          <w:lang w:eastAsia="en-US"/>
        </w:rPr>
        <w:t xml:space="preserve">в сумме </w:t>
      </w:r>
      <w:r w:rsidR="00613A5B">
        <w:rPr>
          <w:rFonts w:eastAsia="Calibri"/>
          <w:sz w:val="26"/>
          <w:szCs w:val="26"/>
          <w:lang w:eastAsia="en-US"/>
        </w:rPr>
        <w:t>3 894 274 553 рубля</w:t>
      </w:r>
      <w:r w:rsidR="004F447F" w:rsidRPr="00DF157D">
        <w:rPr>
          <w:rFonts w:eastAsia="Calibri"/>
          <w:sz w:val="26"/>
          <w:szCs w:val="26"/>
          <w:lang w:eastAsia="en-US"/>
        </w:rPr>
        <w:t xml:space="preserve"> (</w:t>
      </w:r>
      <w:r w:rsidR="00613A5B">
        <w:rPr>
          <w:rFonts w:eastAsia="Calibri"/>
          <w:sz w:val="26"/>
          <w:szCs w:val="26"/>
          <w:lang w:eastAsia="en-US"/>
        </w:rPr>
        <w:t>13,3</w:t>
      </w:r>
      <w:r w:rsidR="004F447F" w:rsidRPr="00DF157D">
        <w:rPr>
          <w:rFonts w:eastAsia="Calibri"/>
          <w:sz w:val="26"/>
          <w:szCs w:val="26"/>
          <w:lang w:eastAsia="en-US"/>
        </w:rPr>
        <w:t xml:space="preserve">% </w:t>
      </w:r>
      <w:r w:rsidR="00D264CB">
        <w:rPr>
          <w:rFonts w:eastAsia="Calibri"/>
          <w:sz w:val="26"/>
          <w:szCs w:val="26"/>
          <w:lang w:eastAsia="en-US"/>
        </w:rPr>
        <w:t>в общих расходах</w:t>
      </w:r>
      <w:r w:rsidR="004F447F" w:rsidRPr="00DF157D">
        <w:rPr>
          <w:rFonts w:eastAsia="Calibri"/>
          <w:sz w:val="26"/>
          <w:szCs w:val="26"/>
          <w:lang w:eastAsia="en-US"/>
        </w:rPr>
        <w:t xml:space="preserve"> на реализацию региональных проектов)</w:t>
      </w:r>
      <w:r w:rsidR="00E9768F">
        <w:rPr>
          <w:rFonts w:eastAsia="Calibri"/>
          <w:sz w:val="26"/>
          <w:szCs w:val="26"/>
          <w:lang w:eastAsia="en-US"/>
        </w:rPr>
        <w:t>. С</w:t>
      </w:r>
      <w:r w:rsidR="004F447F" w:rsidRPr="00DF157D">
        <w:rPr>
          <w:rFonts w:eastAsia="Calibri"/>
          <w:sz w:val="26"/>
          <w:szCs w:val="26"/>
          <w:lang w:eastAsia="en-US"/>
        </w:rPr>
        <w:t xml:space="preserve">редства </w:t>
      </w:r>
      <w:r w:rsidR="00D264CB">
        <w:rPr>
          <w:rFonts w:eastAsia="Calibri"/>
          <w:sz w:val="26"/>
          <w:szCs w:val="26"/>
          <w:lang w:eastAsia="en-US"/>
        </w:rPr>
        <w:t xml:space="preserve">были </w:t>
      </w:r>
      <w:r w:rsidR="004F447F" w:rsidRPr="00DF157D">
        <w:rPr>
          <w:rFonts w:eastAsia="Calibri"/>
          <w:sz w:val="26"/>
          <w:szCs w:val="26"/>
          <w:lang w:eastAsia="en-US"/>
        </w:rPr>
        <w:lastRenderedPageBreak/>
        <w:t xml:space="preserve">направленны </w:t>
      </w:r>
      <w:r w:rsidR="00DF157D" w:rsidRPr="00DF157D">
        <w:rPr>
          <w:rFonts w:eastAsia="Calibri"/>
          <w:sz w:val="26"/>
          <w:szCs w:val="26"/>
          <w:lang w:eastAsia="en-US"/>
        </w:rPr>
        <w:t xml:space="preserve">на </w:t>
      </w:r>
      <w:r w:rsidR="00E9768F" w:rsidRPr="00DF157D">
        <w:rPr>
          <w:rFonts w:eastAsia="Calibri"/>
          <w:sz w:val="26"/>
          <w:szCs w:val="26"/>
          <w:lang w:eastAsia="en-US"/>
        </w:rPr>
        <w:t>создание новых мест в общеобразовательных организациях</w:t>
      </w:r>
      <w:r w:rsidR="00E9768F">
        <w:rPr>
          <w:rFonts w:eastAsia="Calibri"/>
          <w:sz w:val="26"/>
          <w:szCs w:val="26"/>
          <w:lang w:eastAsia="en-US"/>
        </w:rPr>
        <w:t>;</w:t>
      </w:r>
      <w:r w:rsidR="00E9768F" w:rsidRPr="00DF157D">
        <w:rPr>
          <w:rFonts w:eastAsia="Calibri"/>
          <w:sz w:val="26"/>
          <w:szCs w:val="26"/>
          <w:lang w:eastAsia="en-US"/>
        </w:rPr>
        <w:t xml:space="preserve"> </w:t>
      </w:r>
      <w:r w:rsidR="00DF157D" w:rsidRPr="00DF157D">
        <w:rPr>
          <w:rFonts w:eastAsia="Calibri"/>
          <w:sz w:val="26"/>
          <w:szCs w:val="26"/>
          <w:lang w:eastAsia="en-US"/>
        </w:rPr>
        <w:t>создание мастерских, оснащенных в соответствии с современными стандартами Ворлдскиллс и передовыми технологиями в профессиональных образовательных организациях; проведение аттестации с использованием механизма демонстрационного экзамена по стандартам Ворлдскиллс для обучающихся из профессиональных образовательных организаций округа</w:t>
      </w:r>
      <w:r w:rsidR="00DF157D">
        <w:rPr>
          <w:rFonts w:eastAsia="Calibri"/>
          <w:sz w:val="26"/>
          <w:szCs w:val="26"/>
          <w:lang w:eastAsia="en-US"/>
        </w:rPr>
        <w:t xml:space="preserve">; </w:t>
      </w:r>
      <w:r w:rsidR="00DF157D" w:rsidRPr="00DF157D">
        <w:rPr>
          <w:rFonts w:eastAsia="Calibri"/>
          <w:sz w:val="26"/>
          <w:szCs w:val="26"/>
          <w:lang w:eastAsia="en-US"/>
        </w:rPr>
        <w:t xml:space="preserve"> обновление материально-технической базы и создание Центров «Точки роста» для реализации основных и дополнительных общеобразовательных программ цифрового, естественнонаучного и гуманитарного профилей; внедрение в образовательную программу современных цифровых технологий в общеобразовательных организациях; создание центра цифрового образования детей «IT-куб» в г. Сургуте.</w:t>
      </w:r>
    </w:p>
    <w:p w:rsidR="00F6166C" w:rsidRDefault="00D264CB" w:rsidP="002266C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 2020 год </w:t>
      </w:r>
      <w:r w:rsidR="00613A5B">
        <w:rPr>
          <w:rFonts w:ascii="Times New Roman" w:hAnsi="Times New Roman"/>
          <w:sz w:val="26"/>
          <w:szCs w:val="26"/>
        </w:rPr>
        <w:t xml:space="preserve">бюджет </w:t>
      </w:r>
      <w:r w:rsidR="002266C6">
        <w:rPr>
          <w:rFonts w:ascii="Times New Roman" w:hAnsi="Times New Roman"/>
          <w:sz w:val="26"/>
          <w:szCs w:val="26"/>
        </w:rPr>
        <w:t xml:space="preserve">автономного округа </w:t>
      </w:r>
      <w:r w:rsidR="00E9768F">
        <w:rPr>
          <w:rFonts w:ascii="Times New Roman" w:hAnsi="Times New Roman"/>
          <w:sz w:val="26"/>
          <w:szCs w:val="26"/>
        </w:rPr>
        <w:t xml:space="preserve">исполнен с </w:t>
      </w:r>
      <w:r w:rsidR="002266C6">
        <w:rPr>
          <w:rFonts w:ascii="Times New Roman" w:hAnsi="Times New Roman"/>
          <w:sz w:val="26"/>
          <w:szCs w:val="26"/>
        </w:rPr>
        <w:t>дефицит</w:t>
      </w:r>
      <w:r w:rsidR="00E9768F">
        <w:rPr>
          <w:rFonts w:ascii="Times New Roman" w:hAnsi="Times New Roman"/>
          <w:sz w:val="26"/>
          <w:szCs w:val="26"/>
        </w:rPr>
        <w:t>ом</w:t>
      </w:r>
      <w:r w:rsidR="00F6166C" w:rsidRPr="002D2A2B">
        <w:rPr>
          <w:rFonts w:ascii="Times New Roman" w:hAnsi="Times New Roman"/>
          <w:sz w:val="26"/>
          <w:szCs w:val="26"/>
        </w:rPr>
        <w:t xml:space="preserve"> в сумме </w:t>
      </w:r>
      <w:r w:rsidR="00613A5B">
        <w:rPr>
          <w:rFonts w:ascii="Times New Roman" w:hAnsi="Times New Roman"/>
          <w:sz w:val="26"/>
          <w:szCs w:val="26"/>
        </w:rPr>
        <w:t>11 174 788 751 рубль</w:t>
      </w:r>
      <w:r w:rsidR="00F6166C" w:rsidRPr="002D2A2B">
        <w:rPr>
          <w:rFonts w:ascii="Times New Roman" w:hAnsi="Times New Roman"/>
          <w:sz w:val="26"/>
          <w:szCs w:val="26"/>
        </w:rPr>
        <w:t>.</w:t>
      </w:r>
    </w:p>
    <w:p w:rsidR="001E79CE" w:rsidRDefault="001E79CE" w:rsidP="002266C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1E79CE" w:rsidRPr="00D1739E" w:rsidRDefault="001E79CE" w:rsidP="001E79CE">
      <w:pPr>
        <w:pStyle w:val="1"/>
        <w:keepNext w:val="0"/>
        <w:keepLines w:val="0"/>
        <w:widowControl w:val="0"/>
        <w:spacing w:before="0" w:line="360" w:lineRule="auto"/>
        <w:ind w:left="0" w:right="142"/>
        <w:rPr>
          <w:rFonts w:ascii="Times New Roman" w:hAnsi="Times New Roman"/>
          <w:color w:val="auto"/>
          <w:sz w:val="26"/>
          <w:szCs w:val="26"/>
        </w:rPr>
      </w:pPr>
      <w:r w:rsidRPr="00D1739E">
        <w:rPr>
          <w:rFonts w:ascii="Times New Roman" w:hAnsi="Times New Roman"/>
          <w:color w:val="auto"/>
          <w:sz w:val="26"/>
          <w:szCs w:val="26"/>
        </w:rPr>
        <w:t xml:space="preserve">РАЗДЕЛ </w:t>
      </w:r>
      <w:r w:rsidRPr="00D1739E">
        <w:rPr>
          <w:rFonts w:ascii="Times New Roman" w:hAnsi="Times New Roman"/>
          <w:color w:val="auto"/>
          <w:sz w:val="26"/>
          <w:szCs w:val="26"/>
          <w:lang w:val="en-US"/>
        </w:rPr>
        <w:t>IV</w:t>
      </w:r>
      <w:r w:rsidRPr="00D1739E">
        <w:rPr>
          <w:rFonts w:ascii="Times New Roman" w:hAnsi="Times New Roman"/>
          <w:color w:val="auto"/>
          <w:sz w:val="26"/>
          <w:szCs w:val="26"/>
        </w:rPr>
        <w:t xml:space="preserve"> «АНАЛИЗ ПОКАЗАТЕЛЕЙ БУХГАЛТЕРСКОЙ </w:t>
      </w:r>
      <w:r>
        <w:rPr>
          <w:rFonts w:ascii="Times New Roman" w:hAnsi="Times New Roman"/>
          <w:color w:val="auto"/>
          <w:sz w:val="26"/>
          <w:szCs w:val="26"/>
        </w:rPr>
        <w:t xml:space="preserve">               </w:t>
      </w:r>
      <w:r w:rsidRPr="00D1739E">
        <w:rPr>
          <w:rFonts w:ascii="Times New Roman" w:hAnsi="Times New Roman"/>
          <w:color w:val="auto"/>
          <w:sz w:val="26"/>
          <w:szCs w:val="26"/>
        </w:rPr>
        <w:t>ОТЧЕТНОСТИ СУБЪЕКТА БЮДЖЕТНОЙ ОТЧЕТНОСТИ»</w:t>
      </w:r>
    </w:p>
    <w:p w:rsidR="001E79CE" w:rsidRPr="00D1739E" w:rsidRDefault="001E79CE" w:rsidP="001E79CE">
      <w:pPr>
        <w:widowControl w:val="0"/>
        <w:spacing w:line="360" w:lineRule="auto"/>
        <w:ind w:left="0" w:right="142" w:firstLine="709"/>
        <w:rPr>
          <w:rFonts w:ascii="Times New Roman" w:hAnsi="Times New Roman"/>
          <w:b/>
          <w:color w:val="FF0000"/>
          <w:sz w:val="26"/>
          <w:szCs w:val="26"/>
        </w:rPr>
      </w:pPr>
    </w:p>
    <w:p w:rsidR="001E79CE" w:rsidRPr="00273C28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3C28">
        <w:rPr>
          <w:rFonts w:ascii="Times New Roman" w:hAnsi="Times New Roman"/>
          <w:sz w:val="26"/>
          <w:szCs w:val="26"/>
          <w:lang w:eastAsia="ru-RU"/>
        </w:rPr>
        <w:t>Консолидированный отчет об исполнении бюджета Ханты-Мансийского автономного округа – Югры составлен в соответствии с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года № 191н (далее – Инструкция).</w:t>
      </w:r>
    </w:p>
    <w:p w:rsidR="001E79CE" w:rsidRPr="00273C28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 xml:space="preserve">Баланс содержит полную информацию о состоянии активов, обязательств и финансовом результате бюджета автономного округа. </w:t>
      </w:r>
    </w:p>
    <w:p w:rsidR="001E79CE" w:rsidRPr="0030424B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30424B">
        <w:rPr>
          <w:rFonts w:ascii="Times New Roman" w:hAnsi="Times New Roman"/>
          <w:sz w:val="26"/>
          <w:szCs w:val="26"/>
        </w:rPr>
        <w:t xml:space="preserve">На начало отчетного года произошло изменение остатков валюты Баланса на </w:t>
      </w:r>
      <w:r w:rsidR="0030424B" w:rsidRPr="0030424B">
        <w:rPr>
          <w:rFonts w:ascii="Times New Roman" w:hAnsi="Times New Roman"/>
          <w:sz w:val="26"/>
          <w:szCs w:val="26"/>
        </w:rPr>
        <w:t>371 485 856,59</w:t>
      </w:r>
      <w:r w:rsidRPr="0030424B">
        <w:rPr>
          <w:rFonts w:ascii="Times New Roman" w:hAnsi="Times New Roman"/>
          <w:sz w:val="26"/>
          <w:szCs w:val="26"/>
        </w:rPr>
        <w:t xml:space="preserve"> рублей. На конец 2019 года валюта Баланса составляла </w:t>
      </w:r>
      <w:r w:rsidR="0030424B" w:rsidRPr="0030424B">
        <w:rPr>
          <w:rFonts w:ascii="Times New Roman" w:hAnsi="Times New Roman"/>
          <w:sz w:val="26"/>
          <w:szCs w:val="26"/>
        </w:rPr>
        <w:t>524 898 767 787,90</w:t>
      </w:r>
      <w:r w:rsidRPr="0030424B">
        <w:rPr>
          <w:rFonts w:ascii="Times New Roman" w:hAnsi="Times New Roman"/>
          <w:sz w:val="26"/>
          <w:szCs w:val="26"/>
        </w:rPr>
        <w:t xml:space="preserve"> руб</w:t>
      </w:r>
      <w:r w:rsidR="0030424B" w:rsidRPr="0030424B">
        <w:rPr>
          <w:rFonts w:ascii="Times New Roman" w:hAnsi="Times New Roman"/>
          <w:sz w:val="26"/>
          <w:szCs w:val="26"/>
        </w:rPr>
        <w:t>лей</w:t>
      </w:r>
      <w:r w:rsidRPr="0030424B">
        <w:rPr>
          <w:rFonts w:ascii="Times New Roman" w:hAnsi="Times New Roman"/>
          <w:sz w:val="26"/>
          <w:szCs w:val="26"/>
        </w:rPr>
        <w:t xml:space="preserve">, на начало 2020 года валюта Баланса составила </w:t>
      </w:r>
      <w:r w:rsidR="0030424B" w:rsidRPr="0030424B">
        <w:rPr>
          <w:rFonts w:ascii="Times New Roman" w:hAnsi="Times New Roman"/>
          <w:sz w:val="26"/>
          <w:szCs w:val="26"/>
        </w:rPr>
        <w:t>525 270 253 644,49</w:t>
      </w:r>
      <w:r w:rsidRPr="0030424B">
        <w:rPr>
          <w:rFonts w:ascii="Times New Roman" w:hAnsi="Times New Roman"/>
          <w:sz w:val="26"/>
          <w:szCs w:val="26"/>
        </w:rPr>
        <w:t xml:space="preserve"> рублей.</w:t>
      </w:r>
    </w:p>
    <w:p w:rsidR="001E79CE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0424B">
        <w:rPr>
          <w:rFonts w:ascii="Times New Roman" w:hAnsi="Times New Roman"/>
          <w:sz w:val="26"/>
          <w:szCs w:val="26"/>
        </w:rPr>
        <w:t xml:space="preserve">Изменение остатков валюты баланса по счетам отражено в форме 0503373 «Сведения об изменении остатков валюты баланса» на сумму </w:t>
      </w:r>
      <w:r w:rsidR="0030424B" w:rsidRPr="0030424B">
        <w:rPr>
          <w:rFonts w:ascii="Times New Roman" w:hAnsi="Times New Roman"/>
          <w:sz w:val="26"/>
          <w:szCs w:val="26"/>
        </w:rPr>
        <w:t>371 485 856,59</w:t>
      </w:r>
      <w:r w:rsidRPr="0030424B">
        <w:rPr>
          <w:rFonts w:ascii="Times New Roman" w:hAnsi="Times New Roman"/>
          <w:sz w:val="26"/>
          <w:szCs w:val="26"/>
        </w:rPr>
        <w:t xml:space="preserve"> рублей, в связи с:</w:t>
      </w:r>
    </w:p>
    <w:p w:rsidR="00032229" w:rsidRPr="009376BB" w:rsidRDefault="00032229" w:rsidP="00032229">
      <w:pPr>
        <w:autoSpaceDE w:val="0"/>
        <w:autoSpaceDN w:val="0"/>
        <w:adjustRightInd w:val="0"/>
        <w:spacing w:line="360" w:lineRule="auto"/>
        <w:ind w:left="0" w:firstLine="601"/>
        <w:jc w:val="both"/>
        <w:rPr>
          <w:rFonts w:ascii="Times New Roman" w:hAnsi="Times New Roman"/>
          <w:sz w:val="26"/>
          <w:szCs w:val="26"/>
          <w:lang w:eastAsia="ru-RU"/>
        </w:rPr>
      </w:pPr>
      <w:r w:rsidRPr="009376BB">
        <w:rPr>
          <w:rFonts w:ascii="Times New Roman" w:hAnsi="Times New Roman"/>
          <w:sz w:val="26"/>
          <w:szCs w:val="26"/>
        </w:rPr>
        <w:lastRenderedPageBreak/>
        <w:t xml:space="preserve">реорганизацией учреждений (код причины </w:t>
      </w:r>
      <w:r w:rsidRPr="009376BB">
        <w:rPr>
          <w:rFonts w:ascii="Times New Roman" w:hAnsi="Times New Roman"/>
          <w:sz w:val="26"/>
          <w:szCs w:val="26"/>
          <w:lang w:eastAsia="ru-RU"/>
        </w:rPr>
        <w:t>01) – (-</w:t>
      </w:r>
      <w:r>
        <w:rPr>
          <w:rFonts w:ascii="Times New Roman" w:hAnsi="Times New Roman"/>
          <w:sz w:val="26"/>
          <w:szCs w:val="26"/>
          <w:lang w:eastAsia="ru-RU"/>
        </w:rPr>
        <w:t>33 502 449,17</w:t>
      </w:r>
      <w:r w:rsidRPr="009376BB">
        <w:rPr>
          <w:rFonts w:ascii="Times New Roman" w:hAnsi="Times New Roman"/>
          <w:sz w:val="26"/>
          <w:szCs w:val="26"/>
          <w:lang w:eastAsia="ru-RU"/>
        </w:rPr>
        <w:t>) рублей;</w:t>
      </w:r>
    </w:p>
    <w:p w:rsidR="001E79CE" w:rsidRPr="00586B48" w:rsidRDefault="001E79CE" w:rsidP="001E79CE">
      <w:pPr>
        <w:autoSpaceDE w:val="0"/>
        <w:autoSpaceDN w:val="0"/>
        <w:adjustRightInd w:val="0"/>
        <w:spacing w:line="360" w:lineRule="auto"/>
        <w:ind w:left="0" w:firstLine="601"/>
        <w:jc w:val="both"/>
        <w:rPr>
          <w:rFonts w:ascii="Times New Roman" w:hAnsi="Times New Roman"/>
          <w:sz w:val="26"/>
          <w:szCs w:val="26"/>
          <w:lang w:eastAsia="ru-RU"/>
        </w:rPr>
      </w:pPr>
      <w:r w:rsidRPr="00586B48">
        <w:rPr>
          <w:rFonts w:ascii="Times New Roman" w:hAnsi="Times New Roman"/>
          <w:sz w:val="26"/>
          <w:szCs w:val="26"/>
          <w:lang w:eastAsia="ru-RU"/>
        </w:rPr>
        <w:t xml:space="preserve">внедрением федеральных стандартов бухгалтерского учета государственных финансов </w:t>
      </w:r>
      <w:r w:rsidRPr="00586B48">
        <w:rPr>
          <w:rFonts w:ascii="Times New Roman" w:hAnsi="Times New Roman"/>
          <w:sz w:val="26"/>
          <w:szCs w:val="26"/>
        </w:rPr>
        <w:t xml:space="preserve">(код причины </w:t>
      </w:r>
      <w:r w:rsidRPr="00586B48">
        <w:rPr>
          <w:rFonts w:ascii="Times New Roman" w:hAnsi="Times New Roman"/>
          <w:sz w:val="26"/>
          <w:szCs w:val="26"/>
          <w:lang w:eastAsia="ru-RU"/>
        </w:rPr>
        <w:t xml:space="preserve">02) – </w:t>
      </w:r>
      <w:r w:rsidR="00586B48" w:rsidRPr="00586B48">
        <w:rPr>
          <w:rFonts w:ascii="Times New Roman" w:hAnsi="Times New Roman"/>
          <w:sz w:val="26"/>
          <w:szCs w:val="26"/>
          <w:lang w:eastAsia="ru-RU"/>
        </w:rPr>
        <w:t>3 679 259,20</w:t>
      </w:r>
      <w:r w:rsidRPr="00586B48">
        <w:rPr>
          <w:rFonts w:ascii="Times New Roman" w:hAnsi="Times New Roman"/>
          <w:sz w:val="26"/>
          <w:szCs w:val="26"/>
          <w:lang w:eastAsia="ru-RU"/>
        </w:rPr>
        <w:t xml:space="preserve"> рубл</w:t>
      </w:r>
      <w:r w:rsidR="00586B48" w:rsidRPr="00586B48">
        <w:rPr>
          <w:rFonts w:ascii="Times New Roman" w:hAnsi="Times New Roman"/>
          <w:sz w:val="26"/>
          <w:szCs w:val="26"/>
          <w:lang w:eastAsia="ru-RU"/>
        </w:rPr>
        <w:t>ей</w:t>
      </w:r>
      <w:r w:rsidRPr="00586B48">
        <w:rPr>
          <w:rFonts w:ascii="Times New Roman" w:hAnsi="Times New Roman"/>
          <w:sz w:val="26"/>
          <w:szCs w:val="26"/>
          <w:lang w:eastAsia="ru-RU"/>
        </w:rPr>
        <w:t>;</w:t>
      </w:r>
    </w:p>
    <w:p w:rsidR="00032229" w:rsidRDefault="001E79CE" w:rsidP="00032229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6B48">
        <w:rPr>
          <w:rFonts w:ascii="Times New Roman" w:hAnsi="Times New Roman"/>
          <w:sz w:val="26"/>
          <w:szCs w:val="26"/>
        </w:rPr>
        <w:t xml:space="preserve">исправлением ошибок прошлых лет (код причины 3) – </w:t>
      </w:r>
      <w:r w:rsidR="00586B48" w:rsidRPr="00586B48">
        <w:rPr>
          <w:rFonts w:ascii="Times New Roman" w:hAnsi="Times New Roman"/>
          <w:sz w:val="26"/>
          <w:szCs w:val="26"/>
        </w:rPr>
        <w:t>401 309 046,56</w:t>
      </w:r>
      <w:r w:rsidRPr="00586B48">
        <w:rPr>
          <w:rFonts w:ascii="Times New Roman" w:hAnsi="Times New Roman"/>
          <w:sz w:val="26"/>
          <w:szCs w:val="26"/>
        </w:rPr>
        <w:t xml:space="preserve"> рубл</w:t>
      </w:r>
      <w:r w:rsidR="00586B48" w:rsidRPr="00586B48">
        <w:rPr>
          <w:rFonts w:ascii="Times New Roman" w:hAnsi="Times New Roman"/>
          <w:sz w:val="26"/>
          <w:szCs w:val="26"/>
        </w:rPr>
        <w:t>ей</w:t>
      </w:r>
      <w:r w:rsidR="00032229">
        <w:rPr>
          <w:rFonts w:ascii="Times New Roman" w:hAnsi="Times New Roman"/>
          <w:sz w:val="26"/>
          <w:szCs w:val="26"/>
        </w:rPr>
        <w:t>;</w:t>
      </w:r>
    </w:p>
    <w:p w:rsidR="001E79CE" w:rsidRPr="00032229" w:rsidRDefault="001E79CE" w:rsidP="00032229">
      <w:pPr>
        <w:spacing w:line="36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30424B">
        <w:rPr>
          <w:rFonts w:ascii="Times New Roman" w:hAnsi="Times New Roman"/>
          <w:sz w:val="26"/>
          <w:szCs w:val="26"/>
        </w:rPr>
        <w:t xml:space="preserve">На конец отчетного периода валюта Баланса (ф.0503320) составила </w:t>
      </w:r>
      <w:r w:rsidR="0030424B" w:rsidRPr="0030424B">
        <w:rPr>
          <w:rFonts w:ascii="Times New Roman" w:hAnsi="Times New Roman"/>
          <w:sz w:val="26"/>
          <w:szCs w:val="26"/>
        </w:rPr>
        <w:t>528 684 309 649,83</w:t>
      </w:r>
      <w:r w:rsidRPr="0030424B">
        <w:rPr>
          <w:rFonts w:ascii="Times New Roman" w:hAnsi="Times New Roman"/>
          <w:sz w:val="26"/>
          <w:szCs w:val="26"/>
        </w:rPr>
        <w:t xml:space="preserve"> рубл</w:t>
      </w:r>
      <w:r w:rsidR="0030424B" w:rsidRPr="0030424B">
        <w:rPr>
          <w:rFonts w:ascii="Times New Roman" w:hAnsi="Times New Roman"/>
          <w:sz w:val="26"/>
          <w:szCs w:val="26"/>
        </w:rPr>
        <w:t>я</w:t>
      </w:r>
      <w:r w:rsidRPr="0030424B">
        <w:rPr>
          <w:rFonts w:ascii="Times New Roman" w:hAnsi="Times New Roman"/>
          <w:sz w:val="26"/>
          <w:szCs w:val="26"/>
        </w:rPr>
        <w:t xml:space="preserve">. </w:t>
      </w:r>
    </w:p>
    <w:p w:rsidR="001E79CE" w:rsidRPr="00273C28" w:rsidRDefault="001E79CE" w:rsidP="001E79CE">
      <w:p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 xml:space="preserve">Сведения о наличии и движение нефинансовых активов консолидированного бюджета автономного округа в разрезе видов нефинансовых активов и видов бюджетов консолидированного бюджета автономного округа в полном объеме отражены </w:t>
      </w:r>
      <w:r w:rsidRPr="00273C28">
        <w:rPr>
          <w:rFonts w:ascii="Times New Roman" w:hAnsi="Times New Roman"/>
          <w:i/>
          <w:sz w:val="26"/>
          <w:szCs w:val="26"/>
        </w:rPr>
        <w:t>в форме 0503368 «Сведения о движении нефинансовых активов консолидированного бюджета».</w:t>
      </w:r>
    </w:p>
    <w:p w:rsidR="001E79CE" w:rsidRPr="00DA501B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DA501B">
        <w:rPr>
          <w:rFonts w:ascii="Times New Roman" w:hAnsi="Times New Roman"/>
          <w:sz w:val="26"/>
          <w:szCs w:val="26"/>
        </w:rPr>
        <w:t xml:space="preserve">Общая стоимость объектов основных средств бюджета автономного округа увеличилась </w:t>
      </w:r>
      <w:r w:rsidR="00DA501B" w:rsidRPr="00DA501B">
        <w:rPr>
          <w:rFonts w:ascii="Times New Roman" w:hAnsi="Times New Roman"/>
          <w:sz w:val="26"/>
          <w:szCs w:val="26"/>
        </w:rPr>
        <w:t xml:space="preserve">в течение года </w:t>
      </w:r>
      <w:r w:rsidRPr="00DA501B">
        <w:rPr>
          <w:rFonts w:ascii="Times New Roman" w:hAnsi="Times New Roman"/>
          <w:sz w:val="26"/>
          <w:szCs w:val="26"/>
        </w:rPr>
        <w:t xml:space="preserve">на </w:t>
      </w:r>
      <w:r w:rsidR="00DA501B" w:rsidRPr="00DA501B">
        <w:rPr>
          <w:rFonts w:ascii="Times New Roman" w:hAnsi="Times New Roman"/>
          <w:sz w:val="26"/>
          <w:szCs w:val="26"/>
        </w:rPr>
        <w:t>1 748 977 356,49</w:t>
      </w:r>
      <w:r w:rsidRPr="00DA501B">
        <w:rPr>
          <w:rFonts w:ascii="Times New Roman" w:hAnsi="Times New Roman"/>
          <w:sz w:val="26"/>
          <w:szCs w:val="26"/>
        </w:rPr>
        <w:t xml:space="preserve"> рублей и составила по состоянию на 1 января 2021 года </w:t>
      </w:r>
      <w:r w:rsidR="00DA501B" w:rsidRPr="00DA501B">
        <w:rPr>
          <w:rFonts w:ascii="Times New Roman" w:hAnsi="Times New Roman"/>
          <w:sz w:val="26"/>
          <w:szCs w:val="26"/>
        </w:rPr>
        <w:t>187 491 777 722,59</w:t>
      </w:r>
      <w:r w:rsidRPr="00DA501B">
        <w:rPr>
          <w:rFonts w:ascii="Times New Roman" w:hAnsi="Times New Roman"/>
          <w:sz w:val="26"/>
          <w:szCs w:val="26"/>
        </w:rPr>
        <w:t xml:space="preserve"> рублей.</w:t>
      </w:r>
    </w:p>
    <w:p w:rsidR="001E79CE" w:rsidRPr="00DA501B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DA501B">
        <w:rPr>
          <w:rFonts w:ascii="Times New Roman" w:hAnsi="Times New Roman"/>
          <w:sz w:val="26"/>
          <w:szCs w:val="26"/>
        </w:rPr>
        <w:t xml:space="preserve">Общая сумма начисленной амортизации основных средств составила на 1 января 2021 года </w:t>
      </w:r>
      <w:r w:rsidR="00DA501B" w:rsidRPr="00DA501B">
        <w:rPr>
          <w:rFonts w:ascii="Times New Roman" w:hAnsi="Times New Roman"/>
          <w:sz w:val="26"/>
          <w:szCs w:val="26"/>
        </w:rPr>
        <w:t>74 778 055 320,67</w:t>
      </w:r>
      <w:r w:rsidRPr="00DA501B">
        <w:rPr>
          <w:rFonts w:ascii="Times New Roman" w:hAnsi="Times New Roman"/>
          <w:sz w:val="26"/>
          <w:szCs w:val="26"/>
        </w:rPr>
        <w:t xml:space="preserve"> рублей.</w:t>
      </w:r>
    </w:p>
    <w:p w:rsidR="001E79CE" w:rsidRPr="00DA501B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DA501B">
        <w:rPr>
          <w:rFonts w:ascii="Times New Roman" w:hAnsi="Times New Roman"/>
          <w:sz w:val="26"/>
          <w:szCs w:val="26"/>
        </w:rPr>
        <w:t xml:space="preserve">Сумма вложений в основные средства (в том числе незавершенное строительство), увеличилась по сравнению с началом отчетного года на </w:t>
      </w:r>
      <w:r w:rsidR="00DA501B" w:rsidRPr="00DA501B">
        <w:rPr>
          <w:rFonts w:ascii="Times New Roman" w:hAnsi="Times New Roman"/>
          <w:sz w:val="26"/>
          <w:szCs w:val="26"/>
        </w:rPr>
        <w:t>447 400 330,18</w:t>
      </w:r>
      <w:r w:rsidRPr="00DA501B">
        <w:rPr>
          <w:rFonts w:ascii="Times New Roman" w:hAnsi="Times New Roman"/>
          <w:sz w:val="26"/>
          <w:szCs w:val="26"/>
        </w:rPr>
        <w:t xml:space="preserve"> рублей и составила </w:t>
      </w:r>
      <w:r w:rsidR="00DA501B" w:rsidRPr="00DA501B">
        <w:rPr>
          <w:rFonts w:ascii="Times New Roman" w:hAnsi="Times New Roman"/>
          <w:sz w:val="26"/>
          <w:szCs w:val="26"/>
        </w:rPr>
        <w:t>11 016 829 565,80</w:t>
      </w:r>
      <w:r w:rsidRPr="00DA501B">
        <w:rPr>
          <w:rFonts w:ascii="Times New Roman" w:hAnsi="Times New Roman"/>
          <w:sz w:val="26"/>
          <w:szCs w:val="26"/>
        </w:rPr>
        <w:t xml:space="preserve"> рублей.</w:t>
      </w:r>
    </w:p>
    <w:p w:rsidR="001E79CE" w:rsidRPr="00DA501B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DA501B">
        <w:rPr>
          <w:rFonts w:ascii="Times New Roman" w:hAnsi="Times New Roman"/>
          <w:sz w:val="26"/>
          <w:szCs w:val="26"/>
        </w:rPr>
        <w:t xml:space="preserve">Стоимость нематериальных активов </w:t>
      </w:r>
      <w:r w:rsidR="00DA501B" w:rsidRPr="00DA501B">
        <w:rPr>
          <w:rFonts w:ascii="Times New Roman" w:hAnsi="Times New Roman"/>
          <w:sz w:val="26"/>
          <w:szCs w:val="26"/>
        </w:rPr>
        <w:t>уменьшилась</w:t>
      </w:r>
      <w:r w:rsidRPr="00DA501B">
        <w:rPr>
          <w:rFonts w:ascii="Times New Roman" w:hAnsi="Times New Roman"/>
          <w:sz w:val="26"/>
          <w:szCs w:val="26"/>
        </w:rPr>
        <w:t xml:space="preserve"> на </w:t>
      </w:r>
      <w:r w:rsidR="00DA501B" w:rsidRPr="00DA501B">
        <w:rPr>
          <w:rFonts w:ascii="Times New Roman" w:hAnsi="Times New Roman"/>
          <w:sz w:val="26"/>
          <w:szCs w:val="26"/>
        </w:rPr>
        <w:t>1 949 010,87</w:t>
      </w:r>
      <w:r w:rsidRPr="00DA501B">
        <w:rPr>
          <w:rFonts w:ascii="Times New Roman" w:hAnsi="Times New Roman"/>
          <w:sz w:val="26"/>
          <w:szCs w:val="26"/>
        </w:rPr>
        <w:t xml:space="preserve"> рубл</w:t>
      </w:r>
      <w:r w:rsidR="00DA501B" w:rsidRPr="00DA501B">
        <w:rPr>
          <w:rFonts w:ascii="Times New Roman" w:hAnsi="Times New Roman"/>
          <w:sz w:val="26"/>
          <w:szCs w:val="26"/>
        </w:rPr>
        <w:t>ей</w:t>
      </w:r>
      <w:r w:rsidRPr="00DA501B">
        <w:rPr>
          <w:rFonts w:ascii="Times New Roman" w:hAnsi="Times New Roman"/>
          <w:sz w:val="26"/>
          <w:szCs w:val="26"/>
        </w:rPr>
        <w:t xml:space="preserve"> и на конец отчетного года составила </w:t>
      </w:r>
      <w:r w:rsidR="00DA501B" w:rsidRPr="00DA501B">
        <w:rPr>
          <w:rFonts w:ascii="Times New Roman" w:hAnsi="Times New Roman"/>
          <w:sz w:val="26"/>
          <w:szCs w:val="26"/>
        </w:rPr>
        <w:t>2 244 174 268,54</w:t>
      </w:r>
      <w:r w:rsidRPr="00DA501B">
        <w:rPr>
          <w:rFonts w:ascii="Times New Roman" w:hAnsi="Times New Roman"/>
          <w:sz w:val="26"/>
          <w:szCs w:val="26"/>
        </w:rPr>
        <w:t xml:space="preserve"> рубл</w:t>
      </w:r>
      <w:r w:rsidR="00DA501B" w:rsidRPr="00DA501B">
        <w:rPr>
          <w:rFonts w:ascii="Times New Roman" w:hAnsi="Times New Roman"/>
          <w:sz w:val="26"/>
          <w:szCs w:val="26"/>
        </w:rPr>
        <w:t>я</w:t>
      </w:r>
      <w:r w:rsidRPr="00DA501B">
        <w:rPr>
          <w:rFonts w:ascii="Times New Roman" w:hAnsi="Times New Roman"/>
          <w:sz w:val="26"/>
          <w:szCs w:val="26"/>
        </w:rPr>
        <w:t>.</w:t>
      </w:r>
    </w:p>
    <w:p w:rsidR="001E79CE" w:rsidRPr="006F34C5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6F34C5">
        <w:rPr>
          <w:rFonts w:ascii="Times New Roman" w:hAnsi="Times New Roman"/>
          <w:sz w:val="26"/>
          <w:szCs w:val="26"/>
        </w:rPr>
        <w:t xml:space="preserve">Вложения в нематериальные активы на конец года составили </w:t>
      </w:r>
      <w:r w:rsidR="006F34C5" w:rsidRPr="006F34C5">
        <w:rPr>
          <w:rFonts w:ascii="Times New Roman" w:hAnsi="Times New Roman"/>
          <w:sz w:val="26"/>
          <w:szCs w:val="26"/>
        </w:rPr>
        <w:t>121 058 595,09</w:t>
      </w:r>
      <w:r w:rsidRPr="006F34C5">
        <w:rPr>
          <w:rFonts w:ascii="Times New Roman" w:hAnsi="Times New Roman"/>
          <w:sz w:val="26"/>
          <w:szCs w:val="26"/>
        </w:rPr>
        <w:t xml:space="preserve"> рублей.</w:t>
      </w:r>
    </w:p>
    <w:p w:rsidR="001E79CE" w:rsidRPr="006F34C5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6F34C5">
        <w:rPr>
          <w:rFonts w:ascii="Times New Roman" w:hAnsi="Times New Roman"/>
          <w:sz w:val="26"/>
          <w:szCs w:val="26"/>
        </w:rPr>
        <w:t xml:space="preserve">Стоимость непроизведенных активов </w:t>
      </w:r>
      <w:r w:rsidR="006F34C5" w:rsidRPr="006F34C5">
        <w:rPr>
          <w:rFonts w:ascii="Times New Roman" w:hAnsi="Times New Roman"/>
          <w:sz w:val="26"/>
          <w:szCs w:val="26"/>
        </w:rPr>
        <w:t>(земли) увеличилась</w:t>
      </w:r>
      <w:r w:rsidRPr="006F34C5">
        <w:rPr>
          <w:rFonts w:ascii="Times New Roman" w:hAnsi="Times New Roman"/>
          <w:sz w:val="26"/>
          <w:szCs w:val="26"/>
        </w:rPr>
        <w:t xml:space="preserve"> на </w:t>
      </w:r>
      <w:r w:rsidR="006F34C5" w:rsidRPr="006F34C5">
        <w:rPr>
          <w:rFonts w:ascii="Times New Roman" w:hAnsi="Times New Roman"/>
          <w:sz w:val="26"/>
          <w:szCs w:val="26"/>
        </w:rPr>
        <w:t>372 738 659,08</w:t>
      </w:r>
      <w:r w:rsidRPr="006F34C5">
        <w:rPr>
          <w:rFonts w:ascii="Times New Roman" w:hAnsi="Times New Roman"/>
          <w:sz w:val="26"/>
          <w:szCs w:val="26"/>
        </w:rPr>
        <w:t xml:space="preserve"> рубл</w:t>
      </w:r>
      <w:r w:rsidR="006F34C5" w:rsidRPr="006F34C5">
        <w:rPr>
          <w:rFonts w:ascii="Times New Roman" w:hAnsi="Times New Roman"/>
          <w:sz w:val="26"/>
          <w:szCs w:val="26"/>
        </w:rPr>
        <w:t>ей</w:t>
      </w:r>
      <w:r w:rsidRPr="006F34C5">
        <w:rPr>
          <w:rFonts w:ascii="Times New Roman" w:hAnsi="Times New Roman"/>
          <w:sz w:val="26"/>
          <w:szCs w:val="26"/>
        </w:rPr>
        <w:t xml:space="preserve"> и на 1 января 2021 года составила </w:t>
      </w:r>
      <w:r w:rsidR="006F34C5" w:rsidRPr="006F34C5">
        <w:rPr>
          <w:rFonts w:ascii="Times New Roman" w:hAnsi="Times New Roman"/>
          <w:sz w:val="26"/>
          <w:szCs w:val="26"/>
        </w:rPr>
        <w:t>20 170 835 894,00</w:t>
      </w:r>
      <w:r w:rsidRPr="006F34C5">
        <w:rPr>
          <w:rFonts w:ascii="Times New Roman" w:hAnsi="Times New Roman"/>
          <w:sz w:val="26"/>
          <w:szCs w:val="26"/>
        </w:rPr>
        <w:t xml:space="preserve"> рубл</w:t>
      </w:r>
      <w:r w:rsidR="006F34C5" w:rsidRPr="006F34C5">
        <w:rPr>
          <w:rFonts w:ascii="Times New Roman" w:hAnsi="Times New Roman"/>
          <w:sz w:val="26"/>
          <w:szCs w:val="26"/>
        </w:rPr>
        <w:t>ей.</w:t>
      </w:r>
    </w:p>
    <w:p w:rsidR="001E79CE" w:rsidRPr="006F34C5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6F34C5">
        <w:rPr>
          <w:rFonts w:ascii="Times New Roman" w:hAnsi="Times New Roman"/>
          <w:sz w:val="26"/>
          <w:szCs w:val="26"/>
        </w:rPr>
        <w:t xml:space="preserve">Стоимость материальных запасов в течение отчетного года увеличилась на </w:t>
      </w:r>
      <w:r w:rsidR="006F34C5" w:rsidRPr="006F34C5">
        <w:rPr>
          <w:rFonts w:ascii="Times New Roman" w:hAnsi="Times New Roman"/>
          <w:sz w:val="26"/>
          <w:szCs w:val="26"/>
        </w:rPr>
        <w:t>752 319 352,65</w:t>
      </w:r>
      <w:r w:rsidRPr="006F34C5">
        <w:rPr>
          <w:rFonts w:ascii="Times New Roman" w:hAnsi="Times New Roman"/>
          <w:sz w:val="26"/>
          <w:szCs w:val="26"/>
        </w:rPr>
        <w:t xml:space="preserve"> рубл</w:t>
      </w:r>
      <w:r w:rsidR="006F34C5" w:rsidRPr="006F34C5">
        <w:rPr>
          <w:rFonts w:ascii="Times New Roman" w:hAnsi="Times New Roman"/>
          <w:sz w:val="26"/>
          <w:szCs w:val="26"/>
        </w:rPr>
        <w:t>ей</w:t>
      </w:r>
      <w:r w:rsidRPr="006F34C5">
        <w:rPr>
          <w:rFonts w:ascii="Times New Roman" w:hAnsi="Times New Roman"/>
          <w:sz w:val="26"/>
          <w:szCs w:val="26"/>
        </w:rPr>
        <w:t xml:space="preserve"> и на конец года составила </w:t>
      </w:r>
      <w:r w:rsidR="006F34C5" w:rsidRPr="006F34C5">
        <w:rPr>
          <w:rFonts w:ascii="Times New Roman" w:hAnsi="Times New Roman"/>
          <w:sz w:val="26"/>
          <w:szCs w:val="26"/>
        </w:rPr>
        <w:t>4 703 193 592,33</w:t>
      </w:r>
      <w:r w:rsidRPr="006F34C5">
        <w:rPr>
          <w:rFonts w:ascii="Times New Roman" w:hAnsi="Times New Roman"/>
          <w:sz w:val="26"/>
          <w:szCs w:val="26"/>
        </w:rPr>
        <w:t xml:space="preserve"> рубля.</w:t>
      </w:r>
    </w:p>
    <w:p w:rsidR="001E79CE" w:rsidRPr="00F4581D" w:rsidRDefault="001E79CE" w:rsidP="001E79CE">
      <w:pPr>
        <w:pStyle w:val="2"/>
        <w:shd w:val="clear" w:color="auto" w:fill="auto"/>
        <w:spacing w:line="360" w:lineRule="auto"/>
        <w:ind w:right="20" w:firstLine="709"/>
        <w:jc w:val="both"/>
        <w:rPr>
          <w:rFonts w:ascii="Times New Roman" w:hAnsi="Times New Roman"/>
          <w:sz w:val="26"/>
          <w:szCs w:val="26"/>
        </w:rPr>
      </w:pPr>
      <w:r w:rsidRPr="00F4581D">
        <w:rPr>
          <w:rFonts w:ascii="Times New Roman" w:hAnsi="Times New Roman"/>
          <w:sz w:val="26"/>
          <w:szCs w:val="26"/>
        </w:rPr>
        <w:t xml:space="preserve">Стоимость нефинансовых активов, составляющих имущество казны, </w:t>
      </w:r>
      <w:r w:rsidR="00F4581D" w:rsidRPr="00F4581D">
        <w:rPr>
          <w:rFonts w:ascii="Times New Roman" w:hAnsi="Times New Roman"/>
          <w:sz w:val="26"/>
          <w:szCs w:val="26"/>
        </w:rPr>
        <w:t>уменьшилась</w:t>
      </w:r>
      <w:r w:rsidRPr="00F4581D">
        <w:rPr>
          <w:rFonts w:ascii="Times New Roman" w:hAnsi="Times New Roman"/>
          <w:sz w:val="26"/>
          <w:szCs w:val="26"/>
        </w:rPr>
        <w:t xml:space="preserve"> в течение года на </w:t>
      </w:r>
      <w:r w:rsidR="00F4581D" w:rsidRPr="00F4581D">
        <w:rPr>
          <w:rFonts w:ascii="Times New Roman" w:hAnsi="Times New Roman"/>
          <w:sz w:val="26"/>
          <w:szCs w:val="26"/>
        </w:rPr>
        <w:t>1 731 723 414,23</w:t>
      </w:r>
      <w:r w:rsidRPr="00F4581D">
        <w:rPr>
          <w:rFonts w:ascii="Times New Roman" w:hAnsi="Times New Roman"/>
          <w:sz w:val="26"/>
          <w:szCs w:val="26"/>
        </w:rPr>
        <w:t xml:space="preserve"> рубл</w:t>
      </w:r>
      <w:r w:rsidR="00F4581D" w:rsidRPr="00F4581D">
        <w:rPr>
          <w:rFonts w:ascii="Times New Roman" w:hAnsi="Times New Roman"/>
          <w:sz w:val="26"/>
          <w:szCs w:val="26"/>
        </w:rPr>
        <w:t>я</w:t>
      </w:r>
      <w:r w:rsidRPr="00F4581D">
        <w:rPr>
          <w:rFonts w:ascii="Times New Roman" w:hAnsi="Times New Roman"/>
          <w:sz w:val="26"/>
          <w:szCs w:val="26"/>
        </w:rPr>
        <w:t xml:space="preserve"> и составила на конец года </w:t>
      </w:r>
      <w:r w:rsidR="00F4581D" w:rsidRPr="00F4581D">
        <w:rPr>
          <w:rFonts w:ascii="Times New Roman" w:hAnsi="Times New Roman"/>
          <w:sz w:val="26"/>
          <w:szCs w:val="26"/>
        </w:rPr>
        <w:t>54 300 696 446,72</w:t>
      </w:r>
      <w:r w:rsidRPr="00F4581D">
        <w:rPr>
          <w:rFonts w:ascii="Times New Roman" w:hAnsi="Times New Roman"/>
          <w:sz w:val="26"/>
          <w:szCs w:val="26"/>
        </w:rPr>
        <w:t xml:space="preserve"> рубля.</w:t>
      </w:r>
    </w:p>
    <w:p w:rsidR="001E79CE" w:rsidRPr="00273C28" w:rsidRDefault="001E79CE" w:rsidP="001E79CE">
      <w:pPr>
        <w:pStyle w:val="ac"/>
        <w:widowControl w:val="0"/>
        <w:spacing w:after="0" w:line="36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 xml:space="preserve">В разделе </w:t>
      </w:r>
      <w:r w:rsidRPr="00273C28">
        <w:rPr>
          <w:rFonts w:ascii="Times New Roman" w:hAnsi="Times New Roman"/>
          <w:sz w:val="26"/>
          <w:szCs w:val="26"/>
          <w:lang w:val="en-US"/>
        </w:rPr>
        <w:t>II</w:t>
      </w:r>
      <w:r w:rsidRPr="00273C28">
        <w:rPr>
          <w:rFonts w:ascii="Times New Roman" w:hAnsi="Times New Roman"/>
          <w:sz w:val="26"/>
          <w:szCs w:val="26"/>
        </w:rPr>
        <w:t xml:space="preserve"> «Нефинансовые активы, составляющие имущество </w:t>
      </w:r>
      <w:proofErr w:type="gramStart"/>
      <w:r w:rsidRPr="00273C28">
        <w:rPr>
          <w:rFonts w:ascii="Times New Roman" w:hAnsi="Times New Roman"/>
          <w:sz w:val="26"/>
          <w:szCs w:val="26"/>
        </w:rPr>
        <w:t xml:space="preserve">казны»   </w:t>
      </w:r>
      <w:proofErr w:type="gramEnd"/>
      <w:r w:rsidRPr="00273C28">
        <w:rPr>
          <w:rFonts w:ascii="Times New Roman" w:hAnsi="Times New Roman"/>
          <w:sz w:val="26"/>
          <w:szCs w:val="26"/>
        </w:rPr>
        <w:t xml:space="preserve">                  ф. 0503368 на конец отчетного периода:</w:t>
      </w:r>
    </w:p>
    <w:p w:rsidR="001E79CE" w:rsidRPr="00032229" w:rsidRDefault="001E79CE" w:rsidP="001E79CE">
      <w:pPr>
        <w:pStyle w:val="ac"/>
        <w:widowControl w:val="0"/>
        <w:spacing w:after="0"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032229">
        <w:rPr>
          <w:rFonts w:ascii="Times New Roman" w:hAnsi="Times New Roman"/>
          <w:sz w:val="26"/>
          <w:szCs w:val="26"/>
        </w:rPr>
        <w:lastRenderedPageBreak/>
        <w:t xml:space="preserve">по строке 440 в сумме </w:t>
      </w:r>
      <w:r w:rsidR="00032229" w:rsidRPr="00032229">
        <w:rPr>
          <w:rFonts w:ascii="Times New Roman" w:hAnsi="Times New Roman"/>
          <w:sz w:val="26"/>
          <w:szCs w:val="26"/>
        </w:rPr>
        <w:t>20 378 194 517,58</w:t>
      </w:r>
      <w:r w:rsidRPr="00032229">
        <w:rPr>
          <w:rFonts w:ascii="Times New Roman" w:hAnsi="Times New Roman"/>
          <w:sz w:val="26"/>
          <w:szCs w:val="26"/>
        </w:rPr>
        <w:t xml:space="preserve"> рубл</w:t>
      </w:r>
      <w:r w:rsidR="00032229" w:rsidRPr="00032229">
        <w:rPr>
          <w:rFonts w:ascii="Times New Roman" w:hAnsi="Times New Roman"/>
          <w:sz w:val="26"/>
          <w:szCs w:val="26"/>
        </w:rPr>
        <w:t>ей</w:t>
      </w:r>
      <w:r w:rsidRPr="00032229">
        <w:rPr>
          <w:rFonts w:ascii="Times New Roman" w:hAnsi="Times New Roman"/>
          <w:sz w:val="26"/>
          <w:szCs w:val="26"/>
        </w:rPr>
        <w:t xml:space="preserve"> отражена стоимость, земельных участков, права собственности на которые установлены и находятся в собственности автономного округа;</w:t>
      </w:r>
    </w:p>
    <w:p w:rsidR="001E79CE" w:rsidRPr="00032229" w:rsidRDefault="00032229" w:rsidP="001E79CE">
      <w:pPr>
        <w:pStyle w:val="ac"/>
        <w:widowControl w:val="0"/>
        <w:spacing w:after="0"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строке 450 в сумме </w:t>
      </w:r>
      <w:r w:rsidRPr="00032229">
        <w:rPr>
          <w:rFonts w:ascii="Times New Roman" w:hAnsi="Times New Roman"/>
          <w:spacing w:val="-6"/>
          <w:sz w:val="26"/>
          <w:szCs w:val="26"/>
        </w:rPr>
        <w:t>91 691 910,74</w:t>
      </w:r>
      <w:r>
        <w:rPr>
          <w:rFonts w:ascii="Times New Roman" w:hAnsi="Times New Roman"/>
          <w:sz w:val="26"/>
          <w:szCs w:val="26"/>
        </w:rPr>
        <w:t xml:space="preserve"> </w:t>
      </w:r>
      <w:r w:rsidR="001E79CE" w:rsidRPr="00032229">
        <w:rPr>
          <w:rFonts w:ascii="Times New Roman" w:hAnsi="Times New Roman"/>
          <w:sz w:val="26"/>
          <w:szCs w:val="26"/>
        </w:rPr>
        <w:t>рубля</w:t>
      </w:r>
      <w:r>
        <w:rPr>
          <w:rFonts w:ascii="Times New Roman" w:hAnsi="Times New Roman"/>
          <w:sz w:val="26"/>
          <w:szCs w:val="26"/>
        </w:rPr>
        <w:t xml:space="preserve"> </w:t>
      </w:r>
      <w:r w:rsidR="001E79CE" w:rsidRPr="00032229">
        <w:rPr>
          <w:rFonts w:ascii="Times New Roman" w:hAnsi="Times New Roman"/>
          <w:sz w:val="26"/>
          <w:szCs w:val="26"/>
        </w:rPr>
        <w:t>учтены остатки неизрасходованных материальных запасов, приобретенных по государственным контрактам в рамках реализации государственных программ.</w:t>
      </w:r>
    </w:p>
    <w:p w:rsidR="001E79CE" w:rsidRPr="00273C28" w:rsidRDefault="001E79CE" w:rsidP="001E79CE">
      <w:pPr>
        <w:spacing w:line="36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273C28">
        <w:rPr>
          <w:rFonts w:ascii="Times New Roman" w:hAnsi="Times New Roman"/>
          <w:iCs/>
          <w:sz w:val="26"/>
          <w:szCs w:val="26"/>
        </w:rPr>
        <w:t>Сведения по дебиторской и кредиторской задолженности (ф. 0503469) содержат обобщенные данные о состоянии дебиторской и кредиторской задолженности учреждений в разрезе счетов бюджетного учета.</w:t>
      </w:r>
    </w:p>
    <w:p w:rsidR="001E79CE" w:rsidRPr="00273C28" w:rsidRDefault="001E79CE" w:rsidP="001E79CE">
      <w:pPr>
        <w:spacing w:line="360" w:lineRule="auto"/>
        <w:ind w:left="0" w:firstLine="709"/>
        <w:jc w:val="both"/>
        <w:rPr>
          <w:rFonts w:ascii="Times New Roman" w:hAnsi="Times New Roman"/>
          <w:iCs/>
          <w:sz w:val="26"/>
          <w:szCs w:val="26"/>
        </w:rPr>
      </w:pPr>
      <w:r w:rsidRPr="00273C28">
        <w:rPr>
          <w:rFonts w:ascii="Times New Roman" w:hAnsi="Times New Roman"/>
          <w:iCs/>
          <w:sz w:val="26"/>
          <w:szCs w:val="26"/>
        </w:rPr>
        <w:t>Расхождение показателей по дебиторской и кредиторской задолженности на начало 2020 года и конец 2019 года соответствуют показателям формы 0503373</w:t>
      </w:r>
      <w:r w:rsidRPr="00273C28">
        <w:rPr>
          <w:rFonts w:ascii="Times New Roman" w:hAnsi="Times New Roman"/>
          <w:sz w:val="26"/>
          <w:szCs w:val="26"/>
        </w:rPr>
        <w:t xml:space="preserve"> «</w:t>
      </w:r>
      <w:r w:rsidRPr="00273C28">
        <w:rPr>
          <w:rFonts w:ascii="Times New Roman" w:hAnsi="Times New Roman"/>
          <w:bCs/>
          <w:sz w:val="26"/>
          <w:szCs w:val="26"/>
          <w:lang w:eastAsia="ru-RU"/>
        </w:rPr>
        <w:t>Сведения об изменении остатков валюты баланса консолидированного бюджета</w:t>
      </w:r>
      <w:r w:rsidRPr="00273C28">
        <w:rPr>
          <w:rFonts w:ascii="Times New Roman" w:hAnsi="Times New Roman"/>
          <w:sz w:val="26"/>
          <w:szCs w:val="26"/>
        </w:rPr>
        <w:t>».</w:t>
      </w:r>
    </w:p>
    <w:p w:rsidR="001E79CE" w:rsidRPr="000141CE" w:rsidRDefault="001E79CE" w:rsidP="001E79CE">
      <w:p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1E79CE">
        <w:rPr>
          <w:rFonts w:ascii="Times New Roman" w:hAnsi="Times New Roman"/>
          <w:iCs/>
          <w:color w:val="FF0000"/>
          <w:sz w:val="26"/>
          <w:szCs w:val="26"/>
        </w:rPr>
        <w:t xml:space="preserve"> </w:t>
      </w:r>
      <w:r w:rsidRPr="000141CE">
        <w:rPr>
          <w:rFonts w:ascii="Times New Roman" w:hAnsi="Times New Roman"/>
          <w:sz w:val="26"/>
          <w:szCs w:val="26"/>
        </w:rPr>
        <w:t xml:space="preserve">Дебиторская задолженность бюджета автономного округа </w:t>
      </w:r>
      <w:r w:rsidR="000141CE" w:rsidRPr="000141CE">
        <w:rPr>
          <w:rFonts w:ascii="Times New Roman" w:hAnsi="Times New Roman"/>
          <w:sz w:val="26"/>
          <w:szCs w:val="26"/>
        </w:rPr>
        <w:t xml:space="preserve">в течение года увеличилась на 11 876 764 681,46 рублей и </w:t>
      </w:r>
      <w:r w:rsidRPr="000141CE">
        <w:rPr>
          <w:rFonts w:ascii="Times New Roman" w:hAnsi="Times New Roman"/>
          <w:sz w:val="26"/>
          <w:szCs w:val="26"/>
        </w:rPr>
        <w:t xml:space="preserve">на 1 января 2021 года составила </w:t>
      </w:r>
      <w:r w:rsidR="000141CE" w:rsidRPr="000141CE">
        <w:rPr>
          <w:rFonts w:ascii="Times New Roman" w:hAnsi="Times New Roman"/>
          <w:sz w:val="26"/>
          <w:szCs w:val="26"/>
        </w:rPr>
        <w:t>66 589 678 926,00</w:t>
      </w:r>
      <w:r w:rsidRPr="000141CE">
        <w:rPr>
          <w:rFonts w:ascii="Times New Roman" w:hAnsi="Times New Roman"/>
          <w:sz w:val="26"/>
          <w:szCs w:val="26"/>
        </w:rPr>
        <w:t xml:space="preserve"> рубл</w:t>
      </w:r>
      <w:r w:rsidR="000141CE" w:rsidRPr="000141CE">
        <w:rPr>
          <w:rFonts w:ascii="Times New Roman" w:hAnsi="Times New Roman"/>
          <w:sz w:val="26"/>
          <w:szCs w:val="26"/>
        </w:rPr>
        <w:t>ей</w:t>
      </w:r>
      <w:r w:rsidRPr="000141CE">
        <w:rPr>
          <w:rFonts w:ascii="Times New Roman" w:hAnsi="Times New Roman"/>
          <w:sz w:val="26"/>
          <w:szCs w:val="26"/>
        </w:rPr>
        <w:t xml:space="preserve">. </w:t>
      </w:r>
    </w:p>
    <w:p w:rsidR="001E79CE" w:rsidRPr="000141CE" w:rsidRDefault="001E79CE" w:rsidP="001E79CE">
      <w:p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41CE">
        <w:rPr>
          <w:rFonts w:ascii="Times New Roman" w:hAnsi="Times New Roman"/>
          <w:sz w:val="26"/>
          <w:szCs w:val="26"/>
        </w:rPr>
        <w:t xml:space="preserve">Наибольшая доля дебиторской задолженности </w:t>
      </w:r>
      <w:r w:rsidR="000141CE" w:rsidRPr="000141CE">
        <w:rPr>
          <w:rFonts w:ascii="Times New Roman" w:hAnsi="Times New Roman"/>
          <w:sz w:val="26"/>
          <w:szCs w:val="26"/>
        </w:rPr>
        <w:t>74,9</w:t>
      </w:r>
      <w:r w:rsidRPr="000141CE">
        <w:rPr>
          <w:rFonts w:ascii="Times New Roman" w:hAnsi="Times New Roman"/>
          <w:sz w:val="26"/>
          <w:szCs w:val="26"/>
        </w:rPr>
        <w:t xml:space="preserve">% от общего объема дебиторской задолженности сложилась по счету 120500000 по расчетам по доходам в сумме </w:t>
      </w:r>
      <w:r w:rsidR="000141CE" w:rsidRPr="000141CE">
        <w:rPr>
          <w:rFonts w:ascii="Times New Roman" w:hAnsi="Times New Roman"/>
          <w:sz w:val="26"/>
          <w:szCs w:val="26"/>
        </w:rPr>
        <w:t>49 884 698 155,70</w:t>
      </w:r>
      <w:r w:rsidRPr="000141CE">
        <w:rPr>
          <w:rFonts w:ascii="Times New Roman" w:hAnsi="Times New Roman"/>
          <w:sz w:val="26"/>
          <w:szCs w:val="26"/>
        </w:rPr>
        <w:t xml:space="preserve"> рубл</w:t>
      </w:r>
      <w:r w:rsidR="000141CE" w:rsidRPr="000141CE">
        <w:rPr>
          <w:rFonts w:ascii="Times New Roman" w:hAnsi="Times New Roman"/>
          <w:sz w:val="26"/>
          <w:szCs w:val="26"/>
        </w:rPr>
        <w:t>ей</w:t>
      </w:r>
      <w:r w:rsidRPr="000141CE">
        <w:rPr>
          <w:rFonts w:ascii="Times New Roman" w:hAnsi="Times New Roman"/>
          <w:sz w:val="26"/>
          <w:szCs w:val="26"/>
        </w:rPr>
        <w:t xml:space="preserve">. Задолженность в основном сложилась </w:t>
      </w:r>
      <w:r w:rsidRPr="000141CE">
        <w:rPr>
          <w:rFonts w:ascii="Times New Roman" w:hAnsi="Times New Roman"/>
          <w:sz w:val="26"/>
          <w:szCs w:val="26"/>
          <w:lang w:eastAsia="ru-RU"/>
        </w:rPr>
        <w:t>по счетам:</w:t>
      </w:r>
    </w:p>
    <w:p w:rsidR="001E79CE" w:rsidRPr="000141CE" w:rsidRDefault="001E79CE" w:rsidP="001E79CE">
      <w:p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41CE">
        <w:rPr>
          <w:rFonts w:ascii="Times New Roman" w:hAnsi="Times New Roman"/>
          <w:sz w:val="26"/>
          <w:szCs w:val="26"/>
          <w:lang w:eastAsia="ru-RU"/>
        </w:rPr>
        <w:t xml:space="preserve">120551000, 12056100 по безвозмездным поступлениям текущего и капитального характера от других бюджетов бюджетной системы Российской Федерации – </w:t>
      </w:r>
      <w:r w:rsidR="000F4611">
        <w:rPr>
          <w:rFonts w:ascii="Times New Roman" w:hAnsi="Times New Roman"/>
          <w:sz w:val="26"/>
          <w:szCs w:val="26"/>
          <w:lang w:eastAsia="ru-RU"/>
        </w:rPr>
        <w:t>43 358 008 970,70</w:t>
      </w:r>
      <w:r w:rsidRPr="000141CE">
        <w:rPr>
          <w:rFonts w:ascii="Times New Roman" w:hAnsi="Times New Roman"/>
          <w:sz w:val="26"/>
          <w:szCs w:val="26"/>
          <w:lang w:eastAsia="ru-RU"/>
        </w:rPr>
        <w:t xml:space="preserve"> рубл</w:t>
      </w:r>
      <w:r w:rsidR="000141CE" w:rsidRPr="000141CE">
        <w:rPr>
          <w:rFonts w:ascii="Times New Roman" w:hAnsi="Times New Roman"/>
          <w:sz w:val="26"/>
          <w:szCs w:val="26"/>
          <w:lang w:eastAsia="ru-RU"/>
        </w:rPr>
        <w:t>ей</w:t>
      </w:r>
      <w:r w:rsidRPr="000141CE">
        <w:rPr>
          <w:rFonts w:ascii="Times New Roman" w:hAnsi="Times New Roman"/>
          <w:sz w:val="26"/>
          <w:szCs w:val="26"/>
          <w:lang w:eastAsia="ru-RU"/>
        </w:rPr>
        <w:t>;</w:t>
      </w:r>
    </w:p>
    <w:p w:rsidR="000F4611" w:rsidRDefault="001E79CE" w:rsidP="000F4611">
      <w:p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F4611">
        <w:rPr>
          <w:rFonts w:ascii="Times New Roman" w:hAnsi="Times New Roman"/>
          <w:sz w:val="26"/>
          <w:szCs w:val="26"/>
          <w:lang w:eastAsia="ru-RU"/>
        </w:rPr>
        <w:t>120511000 по</w:t>
      </w:r>
      <w:r w:rsidRPr="000F4611">
        <w:rPr>
          <w:rFonts w:ascii="Times New Roman" w:hAnsi="Times New Roman"/>
          <w:sz w:val="26"/>
          <w:szCs w:val="26"/>
        </w:rPr>
        <w:t xml:space="preserve"> расчетам с плательщиками налоговых доходов – </w:t>
      </w:r>
      <w:r w:rsidR="000F4611" w:rsidRPr="000F4611">
        <w:rPr>
          <w:rFonts w:ascii="Times New Roman" w:hAnsi="Times New Roman"/>
          <w:sz w:val="26"/>
          <w:szCs w:val="26"/>
        </w:rPr>
        <w:t>2 995 857 602,00</w:t>
      </w:r>
      <w:r w:rsidRPr="000F4611">
        <w:rPr>
          <w:rFonts w:ascii="Times New Roman" w:hAnsi="Times New Roman"/>
          <w:sz w:val="26"/>
          <w:szCs w:val="26"/>
        </w:rPr>
        <w:t xml:space="preserve"> рубл</w:t>
      </w:r>
      <w:r w:rsidR="000F4611" w:rsidRPr="000F4611">
        <w:rPr>
          <w:rFonts w:ascii="Times New Roman" w:hAnsi="Times New Roman"/>
          <w:sz w:val="26"/>
          <w:szCs w:val="26"/>
        </w:rPr>
        <w:t>я</w:t>
      </w:r>
      <w:r w:rsidRPr="000F4611">
        <w:rPr>
          <w:rFonts w:ascii="Times New Roman" w:hAnsi="Times New Roman"/>
          <w:sz w:val="26"/>
          <w:szCs w:val="26"/>
        </w:rPr>
        <w:t>;</w:t>
      </w:r>
    </w:p>
    <w:p w:rsidR="000F4611" w:rsidRDefault="000F4611" w:rsidP="000F4611">
      <w:pPr>
        <w:spacing w:line="360" w:lineRule="auto"/>
        <w:ind w:left="0"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120564000 </w:t>
      </w:r>
      <w:r>
        <w:rPr>
          <w:rFonts w:ascii="Times New Roman" w:eastAsiaTheme="minorHAnsi" w:hAnsi="Times New Roman"/>
          <w:sz w:val="26"/>
          <w:szCs w:val="26"/>
        </w:rPr>
        <w:t>по поступлениям капитального характера от организаций государственного сектора – 1 322 256 876,42 рубля;</w:t>
      </w:r>
    </w:p>
    <w:p w:rsidR="000F4611" w:rsidRPr="000F4611" w:rsidRDefault="000F4611" w:rsidP="000F4611">
      <w:p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120524000 по доходам от процентов по депозитам – 909 293 816,88 рублей.</w:t>
      </w:r>
    </w:p>
    <w:p w:rsidR="001E79CE" w:rsidRPr="000F4611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0F4611">
        <w:rPr>
          <w:rFonts w:ascii="Times New Roman" w:hAnsi="Times New Roman"/>
          <w:sz w:val="26"/>
          <w:szCs w:val="26"/>
        </w:rPr>
        <w:t xml:space="preserve">По счету 120600000 по расчетам по выданным авансам задолженность </w:t>
      </w:r>
      <w:r w:rsidR="000F4611" w:rsidRPr="000F4611">
        <w:rPr>
          <w:rFonts w:ascii="Times New Roman" w:hAnsi="Times New Roman"/>
          <w:sz w:val="26"/>
          <w:szCs w:val="26"/>
        </w:rPr>
        <w:t xml:space="preserve">уменьшилась в течение отчетного года на 2 145 457 740,78 рублей и </w:t>
      </w:r>
      <w:r w:rsidRPr="000F4611">
        <w:rPr>
          <w:rFonts w:ascii="Times New Roman" w:hAnsi="Times New Roman"/>
          <w:sz w:val="26"/>
          <w:szCs w:val="26"/>
        </w:rPr>
        <w:t xml:space="preserve">сложилась в сумме </w:t>
      </w:r>
      <w:r w:rsidR="000F4611" w:rsidRPr="000F4611">
        <w:rPr>
          <w:rFonts w:ascii="Times New Roman" w:hAnsi="Times New Roman"/>
          <w:sz w:val="26"/>
          <w:szCs w:val="26"/>
        </w:rPr>
        <w:t xml:space="preserve">15 980 292 949,79 </w:t>
      </w:r>
      <w:r w:rsidRPr="000F4611">
        <w:rPr>
          <w:rFonts w:ascii="Times New Roman" w:hAnsi="Times New Roman"/>
          <w:sz w:val="26"/>
          <w:szCs w:val="26"/>
        </w:rPr>
        <w:t>рубл</w:t>
      </w:r>
      <w:r w:rsidR="000F4611" w:rsidRPr="000F4611">
        <w:rPr>
          <w:rFonts w:ascii="Times New Roman" w:hAnsi="Times New Roman"/>
          <w:sz w:val="26"/>
          <w:szCs w:val="26"/>
        </w:rPr>
        <w:t>ей</w:t>
      </w:r>
      <w:r w:rsidRPr="000F4611">
        <w:rPr>
          <w:rFonts w:ascii="Times New Roman" w:hAnsi="Times New Roman"/>
          <w:sz w:val="26"/>
          <w:szCs w:val="26"/>
        </w:rPr>
        <w:t>, в основном по счетам:</w:t>
      </w:r>
    </w:p>
    <w:p w:rsidR="001E79CE" w:rsidRPr="000F4611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0F4611">
        <w:rPr>
          <w:rFonts w:ascii="Times New Roman" w:hAnsi="Times New Roman"/>
          <w:sz w:val="26"/>
          <w:szCs w:val="26"/>
        </w:rPr>
        <w:t xml:space="preserve">120631000 по авансам по приобретению основных средств в сумме </w:t>
      </w:r>
      <w:r w:rsidR="000F4611" w:rsidRPr="000F4611">
        <w:rPr>
          <w:rFonts w:ascii="Times New Roman" w:hAnsi="Times New Roman"/>
          <w:sz w:val="26"/>
          <w:szCs w:val="26"/>
        </w:rPr>
        <w:t>6 296 360 381,98</w:t>
      </w:r>
      <w:r w:rsidRPr="000F4611">
        <w:rPr>
          <w:rFonts w:ascii="Times New Roman" w:hAnsi="Times New Roman"/>
          <w:sz w:val="26"/>
          <w:szCs w:val="26"/>
        </w:rPr>
        <w:t xml:space="preserve"> рублей;</w:t>
      </w:r>
    </w:p>
    <w:p w:rsidR="001E79CE" w:rsidRPr="00AB61E4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AB61E4">
        <w:rPr>
          <w:rFonts w:ascii="Times New Roman" w:hAnsi="Times New Roman"/>
          <w:sz w:val="26"/>
          <w:szCs w:val="26"/>
        </w:rPr>
        <w:t xml:space="preserve">120641000 по предоставленным и неиспользованным субсидиям </w:t>
      </w:r>
      <w:r w:rsidRPr="00AB61E4">
        <w:rPr>
          <w:rFonts w:ascii="Times New Roman" w:hAnsi="Times New Roman"/>
          <w:sz w:val="26"/>
          <w:szCs w:val="26"/>
        </w:rPr>
        <w:lastRenderedPageBreak/>
        <w:t>государственным учреждениям, использование которых предусмотрено в 202</w:t>
      </w:r>
      <w:r w:rsidR="00AB61E4">
        <w:rPr>
          <w:rFonts w:ascii="Times New Roman" w:hAnsi="Times New Roman"/>
          <w:sz w:val="26"/>
          <w:szCs w:val="26"/>
        </w:rPr>
        <w:t>1</w:t>
      </w:r>
      <w:r w:rsidRPr="00AB61E4">
        <w:rPr>
          <w:rFonts w:ascii="Times New Roman" w:hAnsi="Times New Roman"/>
          <w:sz w:val="26"/>
          <w:szCs w:val="26"/>
        </w:rPr>
        <w:t xml:space="preserve"> году в сумме </w:t>
      </w:r>
      <w:r w:rsidR="00AB61E4" w:rsidRPr="00AB61E4">
        <w:rPr>
          <w:rFonts w:ascii="Times New Roman" w:hAnsi="Times New Roman"/>
          <w:sz w:val="26"/>
          <w:szCs w:val="26"/>
        </w:rPr>
        <w:t>4 347 933 960,11</w:t>
      </w:r>
      <w:r w:rsidRPr="00AB61E4">
        <w:rPr>
          <w:rFonts w:ascii="Times New Roman" w:hAnsi="Times New Roman"/>
          <w:sz w:val="26"/>
          <w:szCs w:val="26"/>
        </w:rPr>
        <w:t xml:space="preserve"> рубля;</w:t>
      </w:r>
    </w:p>
    <w:p w:rsidR="004D6C07" w:rsidRDefault="001E79CE" w:rsidP="004D6C07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4D6C07">
        <w:rPr>
          <w:rFonts w:ascii="Times New Roman" w:hAnsi="Times New Roman"/>
          <w:sz w:val="26"/>
          <w:szCs w:val="26"/>
        </w:rPr>
        <w:t xml:space="preserve">120646000 по безвозмездным перечислениям текущего характера некоммерческим организациям и физическим лицам производителям товаров, работ и услуг на производство в сумме </w:t>
      </w:r>
      <w:r w:rsidR="004D6C07" w:rsidRPr="004D6C07">
        <w:rPr>
          <w:rFonts w:ascii="Times New Roman" w:hAnsi="Times New Roman"/>
          <w:sz w:val="26"/>
          <w:szCs w:val="26"/>
        </w:rPr>
        <w:t>3 712 086 020,81</w:t>
      </w:r>
      <w:r w:rsidRPr="004D6C07">
        <w:rPr>
          <w:rFonts w:ascii="Times New Roman" w:hAnsi="Times New Roman"/>
          <w:sz w:val="26"/>
          <w:szCs w:val="26"/>
        </w:rPr>
        <w:t xml:space="preserve"> рубл</w:t>
      </w:r>
      <w:r w:rsidR="004D6C07" w:rsidRPr="004D6C07">
        <w:rPr>
          <w:rFonts w:ascii="Times New Roman" w:hAnsi="Times New Roman"/>
          <w:sz w:val="26"/>
          <w:szCs w:val="26"/>
        </w:rPr>
        <w:t>ь;</w:t>
      </w:r>
    </w:p>
    <w:p w:rsidR="004D6C07" w:rsidRPr="004D6C07" w:rsidRDefault="004D6C07" w:rsidP="004D6C07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120686000 </w:t>
      </w:r>
      <w:r>
        <w:rPr>
          <w:rFonts w:ascii="Times New Roman" w:eastAsiaTheme="minorHAnsi" w:hAnsi="Times New Roman"/>
          <w:sz w:val="26"/>
          <w:szCs w:val="26"/>
        </w:rPr>
        <w:t>по авансовым безвозмездным перечислениям капитального характера некоммерческим организациям и физическим лицам - производителям товаров, работ и услуг в сумме 949 561 400,00 рублей.</w:t>
      </w:r>
    </w:p>
    <w:p w:rsidR="001E79CE" w:rsidRPr="00010439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010439">
        <w:rPr>
          <w:rFonts w:ascii="Times New Roman" w:hAnsi="Times New Roman"/>
          <w:sz w:val="26"/>
          <w:szCs w:val="26"/>
        </w:rPr>
        <w:t xml:space="preserve">По счету 120900000 по расчетам по расчетам по ущербу и иным доходам сложилась в сумме </w:t>
      </w:r>
      <w:r w:rsidR="004D6C07" w:rsidRPr="00010439">
        <w:rPr>
          <w:rFonts w:ascii="Times New Roman" w:hAnsi="Times New Roman"/>
          <w:sz w:val="26"/>
          <w:szCs w:val="26"/>
        </w:rPr>
        <w:t>565 275 639,70</w:t>
      </w:r>
      <w:r w:rsidRPr="00010439">
        <w:rPr>
          <w:rFonts w:ascii="Times New Roman" w:hAnsi="Times New Roman"/>
          <w:sz w:val="26"/>
          <w:szCs w:val="26"/>
        </w:rPr>
        <w:t xml:space="preserve"> рублей, в том числе по доходам от возврата дебиторской задолженности прошлых лет, сумм принудительного изъятия, по причиненному ущербу материальным запасам, доходам </w:t>
      </w:r>
      <w:r w:rsidRPr="00010439">
        <w:rPr>
          <w:rFonts w:ascii="Times New Roman" w:hAnsi="Times New Roman"/>
          <w:sz w:val="26"/>
          <w:szCs w:val="26"/>
          <w:lang w:eastAsia="ru-RU"/>
        </w:rPr>
        <w:t>от штрафных санкций за нарушение условий контрактов (договоров).</w:t>
      </w:r>
    </w:p>
    <w:p w:rsidR="001E79CE" w:rsidRPr="00010439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010439">
        <w:rPr>
          <w:rFonts w:ascii="Times New Roman" w:hAnsi="Times New Roman"/>
          <w:sz w:val="26"/>
          <w:szCs w:val="26"/>
        </w:rPr>
        <w:t xml:space="preserve">Просроченная дебиторская задолженность в течение отчетного года сократилась на </w:t>
      </w:r>
      <w:r w:rsidR="00010439" w:rsidRPr="00010439">
        <w:rPr>
          <w:rFonts w:ascii="Times New Roman" w:hAnsi="Times New Roman"/>
          <w:sz w:val="26"/>
          <w:szCs w:val="26"/>
        </w:rPr>
        <w:t>1 381 712 506,03</w:t>
      </w:r>
      <w:r w:rsidRPr="00010439">
        <w:rPr>
          <w:rFonts w:ascii="Times New Roman" w:hAnsi="Times New Roman"/>
          <w:sz w:val="26"/>
          <w:szCs w:val="26"/>
        </w:rPr>
        <w:t xml:space="preserve"> рубл</w:t>
      </w:r>
      <w:r w:rsidR="00010439" w:rsidRPr="00010439">
        <w:rPr>
          <w:rFonts w:ascii="Times New Roman" w:hAnsi="Times New Roman"/>
          <w:sz w:val="26"/>
          <w:szCs w:val="26"/>
        </w:rPr>
        <w:t>я</w:t>
      </w:r>
      <w:r w:rsidRPr="00010439">
        <w:rPr>
          <w:rFonts w:ascii="Times New Roman" w:hAnsi="Times New Roman"/>
          <w:sz w:val="26"/>
          <w:szCs w:val="26"/>
        </w:rPr>
        <w:t xml:space="preserve"> и по состоянию на 1 января 2021 года составила в сумме </w:t>
      </w:r>
      <w:r w:rsidR="00010439" w:rsidRPr="00010439">
        <w:rPr>
          <w:rFonts w:ascii="Times New Roman" w:hAnsi="Times New Roman"/>
          <w:sz w:val="26"/>
          <w:szCs w:val="26"/>
        </w:rPr>
        <w:t>3 645 361 590,99</w:t>
      </w:r>
      <w:r w:rsidRPr="00010439">
        <w:rPr>
          <w:rFonts w:ascii="Times New Roman" w:hAnsi="Times New Roman"/>
          <w:sz w:val="26"/>
          <w:szCs w:val="26"/>
        </w:rPr>
        <w:t xml:space="preserve"> рубл</w:t>
      </w:r>
      <w:r w:rsidR="00010439" w:rsidRPr="00010439">
        <w:rPr>
          <w:rFonts w:ascii="Times New Roman" w:hAnsi="Times New Roman"/>
          <w:sz w:val="26"/>
          <w:szCs w:val="26"/>
        </w:rPr>
        <w:t>ей</w:t>
      </w:r>
      <w:r w:rsidRPr="00010439">
        <w:rPr>
          <w:rFonts w:ascii="Times New Roman" w:hAnsi="Times New Roman"/>
          <w:sz w:val="26"/>
          <w:szCs w:val="26"/>
        </w:rPr>
        <w:t>, в основном:</w:t>
      </w:r>
    </w:p>
    <w:p w:rsidR="001E79CE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010439">
        <w:rPr>
          <w:rFonts w:ascii="Times New Roman" w:hAnsi="Times New Roman"/>
          <w:sz w:val="26"/>
          <w:szCs w:val="26"/>
        </w:rPr>
        <w:t xml:space="preserve">по счету 120511000 «Расчеты с плательщиками налоговых доходов» в сумме </w:t>
      </w:r>
      <w:r w:rsidR="00010439" w:rsidRPr="00010439">
        <w:rPr>
          <w:rFonts w:ascii="Times New Roman" w:hAnsi="Times New Roman"/>
          <w:sz w:val="26"/>
          <w:szCs w:val="26"/>
        </w:rPr>
        <w:t>2 993 651 329,00</w:t>
      </w:r>
      <w:r w:rsidRPr="00010439">
        <w:rPr>
          <w:rFonts w:ascii="Times New Roman" w:hAnsi="Times New Roman"/>
          <w:sz w:val="26"/>
          <w:szCs w:val="26"/>
        </w:rPr>
        <w:t xml:space="preserve"> рублей по налогу на прибыль, налогу на имущество организаций и физических лиц, транспортному налогу с физических лиц, организаций, налогу на имущество организаций, администрируемых Управлением Федеральной налоговой службы по Ханты-Мансийскому автономному округу – Югре;</w:t>
      </w:r>
    </w:p>
    <w:p w:rsidR="00EE7D8B" w:rsidRDefault="00010439" w:rsidP="00EE7D8B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010439">
        <w:rPr>
          <w:rFonts w:ascii="Times New Roman" w:hAnsi="Times New Roman"/>
          <w:sz w:val="26"/>
          <w:szCs w:val="26"/>
        </w:rPr>
        <w:t>по счету 120521000 «</w:t>
      </w:r>
      <w:r w:rsidRPr="00010439">
        <w:rPr>
          <w:rFonts w:ascii="Times New Roman" w:hAnsi="Times New Roman"/>
          <w:sz w:val="26"/>
          <w:szCs w:val="26"/>
          <w:lang w:eastAsia="ru-RU"/>
        </w:rPr>
        <w:t>Расчеты по доходам от операционной аренды</w:t>
      </w:r>
      <w:r w:rsidRPr="00010439">
        <w:rPr>
          <w:rFonts w:ascii="Times New Roman" w:hAnsi="Times New Roman"/>
          <w:sz w:val="26"/>
          <w:szCs w:val="26"/>
        </w:rPr>
        <w:t>» в сумме 70 050 509,25 рублей за аренду государственного имущества, земельных участков в связи с неисполнением арендаторами (юридическими и физическими лицами) условий договора аренды;</w:t>
      </w:r>
    </w:p>
    <w:p w:rsidR="00EE7D8B" w:rsidRPr="00EE7D8B" w:rsidRDefault="00EE7D8B" w:rsidP="00EE7D8B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счету 120545000 «</w:t>
      </w:r>
      <w:r>
        <w:rPr>
          <w:rFonts w:ascii="Times New Roman" w:eastAsiaTheme="minorHAnsi" w:hAnsi="Times New Roman"/>
          <w:sz w:val="26"/>
          <w:szCs w:val="26"/>
        </w:rPr>
        <w:t>Расчеты по прочим доходам от сумм принудительного изъятия» в сумме 78 299 672,12 рублей по наложенным и не уплаченным в установленный срок административным штрафам;</w:t>
      </w:r>
    </w:p>
    <w:p w:rsidR="00010439" w:rsidRDefault="001E79CE" w:rsidP="00010439">
      <w:p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10439">
        <w:rPr>
          <w:rFonts w:ascii="Times New Roman" w:hAnsi="Times New Roman"/>
          <w:sz w:val="26"/>
          <w:szCs w:val="26"/>
        </w:rPr>
        <w:t>по счету 120523000 «</w:t>
      </w:r>
      <w:r w:rsidRPr="00010439">
        <w:rPr>
          <w:rFonts w:ascii="Times New Roman" w:hAnsi="Times New Roman"/>
          <w:sz w:val="26"/>
          <w:szCs w:val="26"/>
          <w:lang w:eastAsia="ru-RU"/>
        </w:rPr>
        <w:t>Расчеты по доходам от платежей при пользовании природными ресурсами</w:t>
      </w:r>
      <w:r w:rsidRPr="00010439">
        <w:rPr>
          <w:rFonts w:ascii="Times New Roman" w:hAnsi="Times New Roman"/>
          <w:sz w:val="26"/>
          <w:szCs w:val="26"/>
        </w:rPr>
        <w:t xml:space="preserve">» в сумме </w:t>
      </w:r>
      <w:r w:rsidR="00010439" w:rsidRPr="00010439">
        <w:rPr>
          <w:rFonts w:ascii="Times New Roman" w:hAnsi="Times New Roman"/>
          <w:sz w:val="26"/>
          <w:szCs w:val="26"/>
          <w:lang w:eastAsia="ru-RU"/>
        </w:rPr>
        <w:t>14 115 892,24</w:t>
      </w:r>
      <w:r w:rsidRPr="00010439">
        <w:rPr>
          <w:rFonts w:ascii="Times New Roman" w:hAnsi="Times New Roman"/>
          <w:sz w:val="26"/>
          <w:szCs w:val="26"/>
          <w:lang w:eastAsia="ru-RU"/>
        </w:rPr>
        <w:t xml:space="preserve"> рубл</w:t>
      </w:r>
      <w:r w:rsidR="00010439" w:rsidRPr="00010439">
        <w:rPr>
          <w:rFonts w:ascii="Times New Roman" w:hAnsi="Times New Roman"/>
          <w:sz w:val="26"/>
          <w:szCs w:val="26"/>
          <w:lang w:eastAsia="ru-RU"/>
        </w:rPr>
        <w:t>я</w:t>
      </w:r>
      <w:r w:rsidRPr="00010439">
        <w:rPr>
          <w:rFonts w:ascii="Times New Roman" w:hAnsi="Times New Roman"/>
          <w:sz w:val="26"/>
          <w:szCs w:val="26"/>
        </w:rPr>
        <w:t xml:space="preserve"> по арендной плате за пользование природными ресурсами; </w:t>
      </w:r>
    </w:p>
    <w:p w:rsidR="001E79CE" w:rsidRPr="00EE7D8B" w:rsidRDefault="001E79CE" w:rsidP="00010439">
      <w:pPr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E7D8B">
        <w:rPr>
          <w:rFonts w:ascii="Times New Roman" w:hAnsi="Times New Roman"/>
          <w:sz w:val="26"/>
          <w:szCs w:val="26"/>
        </w:rPr>
        <w:lastRenderedPageBreak/>
        <w:t>по счету 1206</w:t>
      </w:r>
      <w:r w:rsidR="00010439" w:rsidRPr="00EE7D8B">
        <w:rPr>
          <w:rFonts w:ascii="Times New Roman" w:hAnsi="Times New Roman"/>
          <w:sz w:val="26"/>
          <w:szCs w:val="26"/>
        </w:rPr>
        <w:t>46</w:t>
      </w:r>
      <w:r w:rsidRPr="00EE7D8B">
        <w:rPr>
          <w:rFonts w:ascii="Times New Roman" w:hAnsi="Times New Roman"/>
          <w:sz w:val="26"/>
          <w:szCs w:val="26"/>
        </w:rPr>
        <w:t>000 «</w:t>
      </w:r>
      <w:r w:rsidR="00010439" w:rsidRPr="00EE7D8B">
        <w:rPr>
          <w:rFonts w:ascii="Times New Roman" w:eastAsiaTheme="minorHAnsi" w:hAnsi="Times New Roman"/>
          <w:sz w:val="26"/>
          <w:szCs w:val="26"/>
        </w:rPr>
        <w:t xml:space="preserve">Расчеты по авансовым безвозмездным перечислениям текущего характера некоммерческим </w:t>
      </w:r>
      <w:r w:rsidR="00010439">
        <w:rPr>
          <w:rFonts w:ascii="Times New Roman" w:eastAsiaTheme="minorHAnsi" w:hAnsi="Times New Roman"/>
          <w:sz w:val="26"/>
          <w:szCs w:val="26"/>
        </w:rPr>
        <w:t xml:space="preserve">организациям и физическим лицам - производителям товаров, работ и услуг на </w:t>
      </w:r>
      <w:r w:rsidR="00010439" w:rsidRPr="00EE7D8B">
        <w:rPr>
          <w:rFonts w:ascii="Times New Roman" w:eastAsiaTheme="minorHAnsi" w:hAnsi="Times New Roman"/>
          <w:sz w:val="26"/>
          <w:szCs w:val="26"/>
        </w:rPr>
        <w:t>производство»</w:t>
      </w:r>
      <w:r w:rsidR="00010439" w:rsidRPr="00EE7D8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E7D8B">
        <w:rPr>
          <w:rFonts w:ascii="Times New Roman" w:hAnsi="Times New Roman"/>
          <w:sz w:val="26"/>
          <w:szCs w:val="26"/>
        </w:rPr>
        <w:t xml:space="preserve">в сумме </w:t>
      </w:r>
      <w:r w:rsidR="00010439" w:rsidRPr="00EE7D8B">
        <w:rPr>
          <w:rFonts w:ascii="Times New Roman" w:hAnsi="Times New Roman"/>
          <w:sz w:val="26"/>
          <w:szCs w:val="26"/>
        </w:rPr>
        <w:t>156 459 055,00</w:t>
      </w:r>
      <w:r w:rsidRPr="00EE7D8B">
        <w:rPr>
          <w:rFonts w:ascii="Times New Roman" w:hAnsi="Times New Roman"/>
          <w:sz w:val="26"/>
          <w:szCs w:val="26"/>
        </w:rPr>
        <w:t xml:space="preserve"> рублей </w:t>
      </w:r>
      <w:r w:rsidR="00EE7D8B" w:rsidRPr="00EE7D8B">
        <w:rPr>
          <w:rFonts w:ascii="Times New Roman" w:hAnsi="Times New Roman"/>
          <w:sz w:val="26"/>
          <w:szCs w:val="26"/>
        </w:rPr>
        <w:t>задолженность по предоставленным грантам крестьянским (фермерским) хозяйствам</w:t>
      </w:r>
      <w:r w:rsidRPr="00EE7D8B">
        <w:rPr>
          <w:rFonts w:ascii="Times New Roman" w:hAnsi="Times New Roman"/>
          <w:sz w:val="26"/>
          <w:szCs w:val="26"/>
        </w:rPr>
        <w:t>;</w:t>
      </w:r>
    </w:p>
    <w:p w:rsidR="001E79CE" w:rsidRPr="00010439" w:rsidRDefault="001E79CE" w:rsidP="001E79CE">
      <w:pPr>
        <w:widowControl w:val="0"/>
        <w:autoSpaceDE w:val="0"/>
        <w:autoSpaceDN w:val="0"/>
        <w:adjustRightInd w:val="0"/>
        <w:spacing w:line="360" w:lineRule="auto"/>
        <w:ind w:left="0" w:right="142"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010439">
        <w:rPr>
          <w:rFonts w:ascii="Times New Roman" w:hAnsi="Times New Roman"/>
          <w:sz w:val="26"/>
          <w:szCs w:val="26"/>
        </w:rPr>
        <w:t xml:space="preserve">по счету 1 20900 000 «Расчеты по компенсации затрат» в сумме </w:t>
      </w:r>
      <w:r w:rsidR="00010439" w:rsidRPr="00010439">
        <w:rPr>
          <w:rFonts w:ascii="Times New Roman" w:hAnsi="Times New Roman"/>
          <w:sz w:val="26"/>
          <w:szCs w:val="26"/>
        </w:rPr>
        <w:t>316 451 507,97</w:t>
      </w:r>
      <w:r w:rsidRPr="00010439">
        <w:rPr>
          <w:rFonts w:ascii="Times New Roman" w:hAnsi="Times New Roman"/>
          <w:sz w:val="26"/>
          <w:szCs w:val="26"/>
        </w:rPr>
        <w:t xml:space="preserve"> рубл</w:t>
      </w:r>
      <w:r w:rsidR="00010439" w:rsidRPr="00010439">
        <w:rPr>
          <w:rFonts w:ascii="Times New Roman" w:hAnsi="Times New Roman"/>
          <w:sz w:val="26"/>
          <w:szCs w:val="26"/>
        </w:rPr>
        <w:t>ей</w:t>
      </w:r>
      <w:r w:rsidRPr="00010439">
        <w:rPr>
          <w:rFonts w:ascii="Times New Roman" w:hAnsi="Times New Roman"/>
          <w:sz w:val="26"/>
          <w:szCs w:val="26"/>
        </w:rPr>
        <w:t xml:space="preserve"> по задолженности по ущербу, подлежащему возмещению по решению суда в виде компенсации расходов, связанных с судопроизводством, задолженности по возмещению ущерба, в том числе при возникновении страховых случаев.</w:t>
      </w:r>
    </w:p>
    <w:p w:rsidR="001E79CE" w:rsidRPr="00F4581D" w:rsidRDefault="001E79CE" w:rsidP="001E79CE">
      <w:pPr>
        <w:widowControl w:val="0"/>
        <w:autoSpaceDE w:val="0"/>
        <w:autoSpaceDN w:val="0"/>
        <w:adjustRightInd w:val="0"/>
        <w:spacing w:line="360" w:lineRule="auto"/>
        <w:ind w:left="0" w:right="142"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F4581D">
        <w:rPr>
          <w:rFonts w:ascii="Times New Roman" w:hAnsi="Times New Roman"/>
          <w:i/>
          <w:sz w:val="26"/>
          <w:szCs w:val="26"/>
        </w:rPr>
        <w:t>Информация о просроченной дебиторской задолженности по суммам                   10 млн. рублей и более по одному контракту и одному контрагенту: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013"/>
        <w:gridCol w:w="2382"/>
        <w:gridCol w:w="3260"/>
      </w:tblGrid>
      <w:tr w:rsidR="001E79CE" w:rsidRPr="001E79CE" w:rsidTr="00D15B16">
        <w:tc>
          <w:tcPr>
            <w:tcW w:w="1809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spacing w:line="360" w:lineRule="auto"/>
              <w:ind w:left="0" w:right="142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Счет</w:t>
            </w:r>
          </w:p>
        </w:tc>
        <w:tc>
          <w:tcPr>
            <w:tcW w:w="2013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spacing w:line="360" w:lineRule="auto"/>
              <w:ind w:left="0" w:right="142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Сумма</w:t>
            </w:r>
          </w:p>
        </w:tc>
        <w:tc>
          <w:tcPr>
            <w:tcW w:w="2382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spacing w:line="360" w:lineRule="auto"/>
              <w:ind w:left="0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Контрагент</w:t>
            </w:r>
          </w:p>
        </w:tc>
        <w:tc>
          <w:tcPr>
            <w:tcW w:w="3260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spacing w:line="360" w:lineRule="auto"/>
              <w:ind w:left="0" w:right="142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Причины образования</w:t>
            </w:r>
          </w:p>
        </w:tc>
      </w:tr>
      <w:tr w:rsidR="001E79CE" w:rsidRPr="001E79CE" w:rsidTr="00D15B16">
        <w:tc>
          <w:tcPr>
            <w:tcW w:w="1809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1 209 36 000</w:t>
            </w:r>
          </w:p>
        </w:tc>
        <w:tc>
          <w:tcPr>
            <w:tcW w:w="2013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50 028 977,24</w:t>
            </w:r>
          </w:p>
        </w:tc>
        <w:tc>
          <w:tcPr>
            <w:tcW w:w="2382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lef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ООО «Вертикаль»</w:t>
            </w:r>
          </w:p>
        </w:tc>
        <w:tc>
          <w:tcPr>
            <w:tcW w:w="3260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Авансирование работ по условиям государственного контракта. Организация признана банкротом. Исключена из ЕГРЮЛ.</w:t>
            </w:r>
          </w:p>
        </w:tc>
      </w:tr>
      <w:tr w:rsidR="001E79CE" w:rsidRPr="001E79CE" w:rsidTr="00D15B16">
        <w:tc>
          <w:tcPr>
            <w:tcW w:w="1809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1 209 36 000</w:t>
            </w:r>
          </w:p>
        </w:tc>
        <w:tc>
          <w:tcPr>
            <w:tcW w:w="2013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26 539 704,06</w:t>
            </w:r>
          </w:p>
        </w:tc>
        <w:tc>
          <w:tcPr>
            <w:tcW w:w="2382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lef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ООО «Производственная фирма 3.5.7»</w:t>
            </w:r>
          </w:p>
        </w:tc>
        <w:tc>
          <w:tcPr>
            <w:tcW w:w="3260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Авансирование работ по условиям государственного контракта. Организация признана банкротом. Исключена из ЕГРЮЛ.</w:t>
            </w:r>
          </w:p>
        </w:tc>
      </w:tr>
      <w:tr w:rsidR="001E79CE" w:rsidRPr="001E79CE" w:rsidTr="00D15B16">
        <w:tc>
          <w:tcPr>
            <w:tcW w:w="1809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1 209 36 000</w:t>
            </w:r>
          </w:p>
        </w:tc>
        <w:tc>
          <w:tcPr>
            <w:tcW w:w="2013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39 765 981,08</w:t>
            </w:r>
          </w:p>
        </w:tc>
        <w:tc>
          <w:tcPr>
            <w:tcW w:w="2382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lef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F4581D">
              <w:rPr>
                <w:rFonts w:ascii="Times New Roman" w:hAnsi="Times New Roman"/>
                <w:sz w:val="24"/>
                <w:szCs w:val="24"/>
              </w:rPr>
              <w:t>Строймонтаж</w:t>
            </w:r>
            <w:proofErr w:type="spellEnd"/>
            <w:r w:rsidRPr="00F4581D">
              <w:rPr>
                <w:rFonts w:ascii="Times New Roman" w:hAnsi="Times New Roman"/>
                <w:sz w:val="24"/>
                <w:szCs w:val="24"/>
              </w:rPr>
              <w:t>- коммуникация»</w:t>
            </w:r>
          </w:p>
        </w:tc>
        <w:tc>
          <w:tcPr>
            <w:tcW w:w="3260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Авансирование работ по условиям государственного контракта. Организация признана банкротом. Исключена из ЕГРЮЛ.</w:t>
            </w:r>
          </w:p>
        </w:tc>
      </w:tr>
      <w:tr w:rsidR="001E79CE" w:rsidRPr="001E79CE" w:rsidTr="00D15B16">
        <w:tc>
          <w:tcPr>
            <w:tcW w:w="1809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1 209 45 000</w:t>
            </w:r>
          </w:p>
        </w:tc>
        <w:tc>
          <w:tcPr>
            <w:tcW w:w="2013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106 000 000,00</w:t>
            </w:r>
          </w:p>
        </w:tc>
        <w:tc>
          <w:tcPr>
            <w:tcW w:w="2382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both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ООО «Кинокомпания «ЮГРА-ФИЛЬМ»</w:t>
            </w:r>
          </w:p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left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both"/>
              <w:outlineLvl w:val="2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Авансирование работ по условиям государственного контракта. Организация признана банкротом. Исключена из ЕГРЮЛ.</w:t>
            </w:r>
          </w:p>
        </w:tc>
      </w:tr>
      <w:tr w:rsidR="001E79CE" w:rsidRPr="001E79CE" w:rsidTr="00D15B16">
        <w:tc>
          <w:tcPr>
            <w:tcW w:w="1809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1 209 45 000</w:t>
            </w:r>
          </w:p>
        </w:tc>
        <w:tc>
          <w:tcPr>
            <w:tcW w:w="2013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F4581D">
              <w:rPr>
                <w:rFonts w:ascii="Times New Roman" w:hAnsi="Times New Roman"/>
                <w:sz w:val="26"/>
                <w:szCs w:val="26"/>
              </w:rPr>
              <w:t>17 373 210,80</w:t>
            </w:r>
          </w:p>
        </w:tc>
        <w:tc>
          <w:tcPr>
            <w:tcW w:w="2382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left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ООО «Арт Вест Групп»</w:t>
            </w:r>
          </w:p>
        </w:tc>
        <w:tc>
          <w:tcPr>
            <w:tcW w:w="3260" w:type="dxa"/>
            <w:shd w:val="clear" w:color="auto" w:fill="auto"/>
          </w:tcPr>
          <w:p w:rsidR="001E79CE" w:rsidRPr="00F4581D" w:rsidRDefault="001E79CE" w:rsidP="00D15B16">
            <w:pPr>
              <w:widowControl w:val="0"/>
              <w:autoSpaceDE w:val="0"/>
              <w:autoSpaceDN w:val="0"/>
              <w:adjustRightInd w:val="0"/>
              <w:ind w:left="0" w:right="142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4581D">
              <w:rPr>
                <w:rFonts w:ascii="Times New Roman" w:hAnsi="Times New Roman"/>
                <w:sz w:val="24"/>
                <w:szCs w:val="24"/>
              </w:rPr>
              <w:t>Авансирование работ по условиям государственного контракта. Организация признана банкротом. Исключена из ЕГРЮЛ.</w:t>
            </w:r>
          </w:p>
        </w:tc>
      </w:tr>
    </w:tbl>
    <w:p w:rsidR="001E79CE" w:rsidRPr="00273C28" w:rsidRDefault="001E79CE" w:rsidP="001E79CE">
      <w:pPr>
        <w:widowControl w:val="0"/>
        <w:autoSpaceDE w:val="0"/>
        <w:autoSpaceDN w:val="0"/>
        <w:adjustRightInd w:val="0"/>
        <w:spacing w:line="360" w:lineRule="auto"/>
        <w:ind w:left="0" w:right="142" w:firstLine="709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1E79CE" w:rsidRPr="00273C28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 xml:space="preserve">В целях взыскания просроченной дебиторской задолженности главными распорядителями средств бюджета автономного округа постоянно ведется </w:t>
      </w:r>
      <w:proofErr w:type="spellStart"/>
      <w:r w:rsidRPr="00273C28">
        <w:rPr>
          <w:rFonts w:ascii="Times New Roman" w:hAnsi="Times New Roman"/>
          <w:sz w:val="26"/>
          <w:szCs w:val="26"/>
        </w:rPr>
        <w:t>претензионно</w:t>
      </w:r>
      <w:proofErr w:type="spellEnd"/>
      <w:r w:rsidRPr="00273C28">
        <w:rPr>
          <w:rFonts w:ascii="Times New Roman" w:hAnsi="Times New Roman"/>
          <w:sz w:val="26"/>
          <w:szCs w:val="26"/>
        </w:rPr>
        <w:t xml:space="preserve">-исковая работа. </w:t>
      </w:r>
    </w:p>
    <w:p w:rsidR="001E79CE" w:rsidRPr="00957A8F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957A8F">
        <w:rPr>
          <w:rFonts w:ascii="Times New Roman" w:hAnsi="Times New Roman"/>
          <w:sz w:val="26"/>
          <w:szCs w:val="26"/>
        </w:rPr>
        <w:lastRenderedPageBreak/>
        <w:t xml:space="preserve">Кредиторская задолженность бюджета автономного округа в течение года увеличилась </w:t>
      </w:r>
      <w:r w:rsidR="003A2C8F" w:rsidRPr="00957A8F">
        <w:rPr>
          <w:rFonts w:ascii="Times New Roman" w:hAnsi="Times New Roman"/>
          <w:sz w:val="26"/>
          <w:szCs w:val="26"/>
        </w:rPr>
        <w:t xml:space="preserve">в 3 раза и </w:t>
      </w:r>
      <w:r w:rsidRPr="00957A8F">
        <w:rPr>
          <w:rFonts w:ascii="Times New Roman" w:hAnsi="Times New Roman"/>
          <w:sz w:val="26"/>
          <w:szCs w:val="26"/>
        </w:rPr>
        <w:t xml:space="preserve">на конец отчетного года составила </w:t>
      </w:r>
      <w:r w:rsidR="003A2C8F" w:rsidRPr="00957A8F">
        <w:rPr>
          <w:rFonts w:ascii="Times New Roman" w:hAnsi="Times New Roman"/>
          <w:sz w:val="26"/>
          <w:szCs w:val="26"/>
        </w:rPr>
        <w:t>84 131 655 465,21</w:t>
      </w:r>
      <w:r w:rsidRPr="00957A8F">
        <w:rPr>
          <w:rFonts w:ascii="Times New Roman" w:hAnsi="Times New Roman"/>
          <w:sz w:val="26"/>
          <w:szCs w:val="26"/>
        </w:rPr>
        <w:t xml:space="preserve"> рубл</w:t>
      </w:r>
      <w:r w:rsidR="003A2C8F" w:rsidRPr="00957A8F">
        <w:rPr>
          <w:rFonts w:ascii="Times New Roman" w:hAnsi="Times New Roman"/>
          <w:sz w:val="26"/>
          <w:szCs w:val="26"/>
        </w:rPr>
        <w:t>ь</w:t>
      </w:r>
      <w:r w:rsidRPr="00957A8F">
        <w:rPr>
          <w:rFonts w:ascii="Times New Roman" w:hAnsi="Times New Roman"/>
          <w:sz w:val="26"/>
          <w:szCs w:val="26"/>
        </w:rPr>
        <w:t>.</w:t>
      </w:r>
    </w:p>
    <w:p w:rsidR="001E79CE" w:rsidRPr="00732A19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732A19">
        <w:rPr>
          <w:rFonts w:ascii="Times New Roman" w:hAnsi="Times New Roman"/>
          <w:sz w:val="26"/>
          <w:szCs w:val="26"/>
        </w:rPr>
        <w:t>В основном кредиторская задолженность сложилась по счетам:</w:t>
      </w:r>
    </w:p>
    <w:p w:rsidR="001E79CE" w:rsidRPr="00957A8F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957A8F">
        <w:rPr>
          <w:rFonts w:ascii="Times New Roman" w:hAnsi="Times New Roman"/>
          <w:sz w:val="26"/>
          <w:szCs w:val="26"/>
        </w:rPr>
        <w:t>120511000 «Расчеты с плательщиками налоговых доходов»</w:t>
      </w:r>
      <w:r w:rsidRPr="00957A8F">
        <w:rPr>
          <w:rFonts w:ascii="Times New Roman" w:hAnsi="Times New Roman"/>
          <w:sz w:val="26"/>
          <w:szCs w:val="26"/>
          <w:lang w:eastAsia="ru-RU"/>
        </w:rPr>
        <w:t xml:space="preserve"> в сумме </w:t>
      </w:r>
      <w:r w:rsidR="00957A8F" w:rsidRPr="00957A8F">
        <w:rPr>
          <w:rFonts w:ascii="Times New Roman" w:hAnsi="Times New Roman"/>
          <w:sz w:val="26"/>
          <w:szCs w:val="26"/>
          <w:lang w:eastAsia="ru-RU"/>
        </w:rPr>
        <w:t>72 740 193 007,53</w:t>
      </w:r>
      <w:r w:rsidRPr="00957A8F">
        <w:rPr>
          <w:rFonts w:ascii="Times New Roman" w:hAnsi="Times New Roman"/>
          <w:sz w:val="26"/>
          <w:szCs w:val="26"/>
          <w:lang w:eastAsia="ru-RU"/>
        </w:rPr>
        <w:t xml:space="preserve"> рубл</w:t>
      </w:r>
      <w:r w:rsidR="00957A8F" w:rsidRPr="00957A8F">
        <w:rPr>
          <w:rFonts w:ascii="Times New Roman" w:hAnsi="Times New Roman"/>
          <w:sz w:val="26"/>
          <w:szCs w:val="26"/>
          <w:lang w:eastAsia="ru-RU"/>
        </w:rPr>
        <w:t>я</w:t>
      </w:r>
      <w:r w:rsidRPr="00957A8F">
        <w:rPr>
          <w:rFonts w:ascii="Times New Roman" w:hAnsi="Times New Roman"/>
          <w:sz w:val="26"/>
          <w:szCs w:val="26"/>
          <w:lang w:eastAsia="ru-RU"/>
        </w:rPr>
        <w:t xml:space="preserve"> по поступившим налоговым доходам, </w:t>
      </w:r>
      <w:r w:rsidRPr="00957A8F">
        <w:rPr>
          <w:rFonts w:ascii="Times New Roman" w:hAnsi="Times New Roman"/>
          <w:sz w:val="26"/>
          <w:szCs w:val="26"/>
        </w:rPr>
        <w:t>администрируемым Управлением Федеральной налоговой службы по Ханты-Мансийскому автономному округу – Югре, и подлежащим начислению в следующем отчетном периоде;</w:t>
      </w:r>
    </w:p>
    <w:p w:rsidR="001E79CE" w:rsidRPr="00732A19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32A19">
        <w:rPr>
          <w:rFonts w:ascii="Times New Roman" w:hAnsi="Times New Roman"/>
          <w:sz w:val="26"/>
          <w:szCs w:val="26"/>
          <w:lang w:eastAsia="ru-RU"/>
        </w:rPr>
        <w:t xml:space="preserve">130275000 «Расчеты по приобретению иных финансовых активов» в сумме 11 264 000 000,00 рублей по </w:t>
      </w:r>
      <w:r w:rsidRPr="00732A19">
        <w:rPr>
          <w:rFonts w:ascii="Times New Roman" w:hAnsi="Times New Roman"/>
          <w:sz w:val="26"/>
          <w:szCs w:val="26"/>
        </w:rPr>
        <w:t>средствам государственных автономных и бюджетных учреждений, перечисленные на единый счет бюджета автономного округа и размещенные на банковские депозиты в кредитных организациях.</w:t>
      </w:r>
    </w:p>
    <w:p w:rsidR="001E79CE" w:rsidRPr="00273C28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 xml:space="preserve">Просроченная кредиторская задолженность отсутствует. </w:t>
      </w:r>
    </w:p>
    <w:p w:rsidR="001E79CE" w:rsidRPr="00273C28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>Сведения по дебиторской и кредиторской задолженности в разрезе счетов бюджетного учета отражены в форме 0503369.</w:t>
      </w:r>
    </w:p>
    <w:p w:rsidR="001E79CE" w:rsidRPr="00273C28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>В целях обеспечения текущего контроля за состоянием показателей кредиторской задолженности осуществляется мониторинг состояния кредиторской задолженности, в том числе просроченной, главных распорядителей и получателей средств бюджета автономного округа.</w:t>
      </w:r>
    </w:p>
    <w:p w:rsidR="001E79CE" w:rsidRPr="00273C28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i/>
          <w:sz w:val="26"/>
          <w:szCs w:val="26"/>
        </w:rPr>
      </w:pPr>
      <w:r w:rsidRPr="00273C28">
        <w:rPr>
          <w:rFonts w:ascii="Times New Roman" w:hAnsi="Times New Roman"/>
          <w:i/>
          <w:sz w:val="26"/>
          <w:szCs w:val="26"/>
          <w:lang w:eastAsia="ru-RU"/>
        </w:rPr>
        <w:t>Сведения о финансовых вложениях (</w:t>
      </w:r>
      <w:hyperlink r:id="rId9" w:history="1">
        <w:r w:rsidRPr="00273C28">
          <w:rPr>
            <w:rFonts w:ascii="Times New Roman" w:hAnsi="Times New Roman"/>
            <w:i/>
            <w:sz w:val="26"/>
            <w:szCs w:val="26"/>
            <w:lang w:eastAsia="ru-RU"/>
          </w:rPr>
          <w:t>ф. 0503371</w:t>
        </w:r>
      </w:hyperlink>
      <w:r w:rsidRPr="00273C28">
        <w:rPr>
          <w:rFonts w:ascii="Times New Roman" w:hAnsi="Times New Roman"/>
          <w:i/>
          <w:sz w:val="26"/>
          <w:szCs w:val="26"/>
          <w:lang w:eastAsia="ru-RU"/>
        </w:rPr>
        <w:t>):</w:t>
      </w:r>
    </w:p>
    <w:p w:rsidR="001E79CE" w:rsidRPr="001E79CE" w:rsidRDefault="001E79CE" w:rsidP="000A4D77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0A4D77">
        <w:rPr>
          <w:rFonts w:ascii="Times New Roman" w:hAnsi="Times New Roman"/>
          <w:sz w:val="26"/>
          <w:szCs w:val="26"/>
        </w:rPr>
        <w:t xml:space="preserve">Финансовые вложения бюджета автономного округа в отчетном году увеличились на </w:t>
      </w:r>
      <w:r w:rsidR="000A4D77" w:rsidRPr="000A4D77">
        <w:rPr>
          <w:rFonts w:ascii="Times New Roman" w:hAnsi="Times New Roman"/>
          <w:sz w:val="26"/>
          <w:szCs w:val="26"/>
        </w:rPr>
        <w:t>10 482 124 952,61</w:t>
      </w:r>
      <w:r w:rsidRPr="000A4D77">
        <w:rPr>
          <w:rFonts w:ascii="Times New Roman" w:hAnsi="Times New Roman"/>
          <w:sz w:val="26"/>
          <w:szCs w:val="26"/>
        </w:rPr>
        <w:t xml:space="preserve"> рубл</w:t>
      </w:r>
      <w:r w:rsidR="000A4D77" w:rsidRPr="000A4D77">
        <w:rPr>
          <w:rFonts w:ascii="Times New Roman" w:hAnsi="Times New Roman"/>
          <w:sz w:val="26"/>
          <w:szCs w:val="26"/>
        </w:rPr>
        <w:t>ь</w:t>
      </w:r>
      <w:r w:rsidRPr="000A4D77">
        <w:rPr>
          <w:rFonts w:ascii="Times New Roman" w:hAnsi="Times New Roman"/>
          <w:sz w:val="26"/>
          <w:szCs w:val="26"/>
        </w:rPr>
        <w:t xml:space="preserve"> и на 1 января 2021 года составили </w:t>
      </w:r>
      <w:r w:rsidR="00957A8F" w:rsidRPr="000A4D77">
        <w:rPr>
          <w:rFonts w:ascii="Times New Roman" w:hAnsi="Times New Roman"/>
          <w:sz w:val="26"/>
          <w:szCs w:val="26"/>
        </w:rPr>
        <w:t>222 651 779 543,29</w:t>
      </w:r>
      <w:r w:rsidRPr="000A4D77">
        <w:rPr>
          <w:rFonts w:ascii="Times New Roman" w:hAnsi="Times New Roman"/>
          <w:sz w:val="26"/>
          <w:szCs w:val="26"/>
        </w:rPr>
        <w:t xml:space="preserve"> рублей</w:t>
      </w:r>
      <w:r w:rsidR="000A4D77">
        <w:rPr>
          <w:rFonts w:ascii="Times New Roman" w:hAnsi="Times New Roman"/>
          <w:color w:val="FF0000"/>
          <w:sz w:val="26"/>
          <w:szCs w:val="26"/>
        </w:rPr>
        <w:t>.</w:t>
      </w:r>
    </w:p>
    <w:p w:rsidR="001E79CE" w:rsidRPr="000A4D77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4D77">
        <w:rPr>
          <w:rFonts w:ascii="Times New Roman" w:hAnsi="Times New Roman"/>
          <w:sz w:val="26"/>
          <w:szCs w:val="26"/>
        </w:rPr>
        <w:t xml:space="preserve">Показатель счета 120433000 «Участие в государственных (муниципальных) учреждениях» составляет </w:t>
      </w:r>
      <w:r w:rsidR="000A4D77" w:rsidRPr="000A4D77">
        <w:rPr>
          <w:rFonts w:ascii="Times New Roman" w:hAnsi="Times New Roman"/>
          <w:sz w:val="26"/>
          <w:szCs w:val="26"/>
        </w:rPr>
        <w:t>164 805 414 814,70</w:t>
      </w:r>
      <w:r w:rsidRPr="000A4D77">
        <w:rPr>
          <w:rFonts w:ascii="Times New Roman" w:hAnsi="Times New Roman"/>
          <w:sz w:val="26"/>
          <w:szCs w:val="26"/>
        </w:rPr>
        <w:t xml:space="preserve"> рублей и идентичен показателю счета 021006000 «Расчеты с учредителем», отраженному по строке 480 графы 10 сводного Баланса государственного (муниципального) учреждения (ф. 0503730).</w:t>
      </w:r>
    </w:p>
    <w:p w:rsidR="001E79CE" w:rsidRPr="000A4D77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A4D77">
        <w:rPr>
          <w:rFonts w:ascii="Times New Roman" w:hAnsi="Times New Roman"/>
          <w:sz w:val="26"/>
          <w:szCs w:val="26"/>
          <w:lang w:eastAsia="ru-RU"/>
        </w:rPr>
        <w:t xml:space="preserve">Финансовые вложения по счету 1 20431 000 «Акции» составили </w:t>
      </w:r>
      <w:r w:rsidR="000A4D77" w:rsidRPr="000A4D77">
        <w:rPr>
          <w:rFonts w:ascii="Times New Roman" w:hAnsi="Times New Roman"/>
          <w:sz w:val="26"/>
          <w:szCs w:val="26"/>
          <w:lang w:eastAsia="ru-RU"/>
        </w:rPr>
        <w:t xml:space="preserve">54 185 960 838,35 </w:t>
      </w:r>
      <w:r w:rsidRPr="000A4D77">
        <w:rPr>
          <w:rFonts w:ascii="Times New Roman" w:hAnsi="Times New Roman"/>
          <w:sz w:val="26"/>
          <w:szCs w:val="26"/>
          <w:lang w:eastAsia="ru-RU"/>
        </w:rPr>
        <w:t>рублей, из них, остаток 10 млрд. рублей и более составил по организациям:</w:t>
      </w:r>
    </w:p>
    <w:p w:rsidR="001E79CE" w:rsidRPr="00273C28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3C28">
        <w:rPr>
          <w:rFonts w:ascii="Times New Roman" w:hAnsi="Times New Roman"/>
          <w:sz w:val="26"/>
          <w:szCs w:val="26"/>
          <w:lang w:eastAsia="ru-RU"/>
        </w:rPr>
        <w:t xml:space="preserve">ПАО Авиакомпания </w:t>
      </w:r>
      <w:proofErr w:type="spellStart"/>
      <w:r w:rsidRPr="00273C28">
        <w:rPr>
          <w:rFonts w:ascii="Times New Roman" w:hAnsi="Times New Roman"/>
          <w:sz w:val="26"/>
          <w:szCs w:val="26"/>
          <w:lang w:eastAsia="ru-RU"/>
        </w:rPr>
        <w:t>ЮТэйр</w:t>
      </w:r>
      <w:proofErr w:type="spellEnd"/>
      <w:r w:rsidRPr="00273C28">
        <w:rPr>
          <w:rFonts w:ascii="Times New Roman" w:hAnsi="Times New Roman"/>
          <w:sz w:val="26"/>
          <w:szCs w:val="26"/>
          <w:lang w:eastAsia="ru-RU"/>
        </w:rPr>
        <w:t xml:space="preserve"> ИНН 7204002873 в сумме 11 500 000 000,0 рублей;</w:t>
      </w:r>
    </w:p>
    <w:p w:rsidR="001E79CE" w:rsidRPr="00273C28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3C28">
        <w:rPr>
          <w:rFonts w:ascii="Times New Roman" w:hAnsi="Times New Roman"/>
          <w:sz w:val="26"/>
          <w:szCs w:val="26"/>
          <w:lang w:eastAsia="ru-RU"/>
        </w:rPr>
        <w:lastRenderedPageBreak/>
        <w:t>АО Корпорация Развития ИНН 6671199917 в сумме 10 803 059 000,0 рублей;</w:t>
      </w:r>
    </w:p>
    <w:p w:rsidR="001E79CE" w:rsidRPr="00273C28" w:rsidRDefault="001E79CE" w:rsidP="001E79CE">
      <w:p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73C28">
        <w:rPr>
          <w:rFonts w:ascii="Times New Roman" w:hAnsi="Times New Roman"/>
          <w:sz w:val="26"/>
          <w:szCs w:val="26"/>
          <w:lang w:eastAsia="ru-RU"/>
        </w:rPr>
        <w:t>АО Ипотечное агентство Югры ИНН 8601038839 в сумме 10 091 706 631,00 рубль.</w:t>
      </w:r>
    </w:p>
    <w:p w:rsidR="001E79CE" w:rsidRPr="00273C28" w:rsidRDefault="001E79CE" w:rsidP="001E79CE">
      <w:pPr>
        <w:pStyle w:val="ac"/>
        <w:widowControl w:val="0"/>
        <w:spacing w:after="0"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>Сведения о финансовых вложения консолидированного бюджета автономного округа в разрезе видов финансовых вложений отражены в ф. 0503371.</w:t>
      </w:r>
    </w:p>
    <w:p w:rsidR="001E79CE" w:rsidRPr="00273C28" w:rsidRDefault="001E79CE" w:rsidP="001E79CE">
      <w:pPr>
        <w:pStyle w:val="ac"/>
        <w:widowControl w:val="0"/>
        <w:spacing w:after="0" w:line="360" w:lineRule="auto"/>
        <w:ind w:left="0" w:right="142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>Государственный долг автономного округа на 1 января 2021 года сократился на 1 800 000 000,00 рублей и составил 11 200 000 000,0 рублей. Государственной долг в полном объеме состоит из государственных облигационных займов.</w:t>
      </w:r>
    </w:p>
    <w:p w:rsidR="00732A19" w:rsidRPr="00A71394" w:rsidRDefault="00732A19" w:rsidP="00375434">
      <w:pPr>
        <w:pStyle w:val="ac"/>
        <w:widowControl w:val="0"/>
        <w:spacing w:after="0" w:line="36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A71394">
        <w:rPr>
          <w:rFonts w:ascii="Times New Roman" w:hAnsi="Times New Roman"/>
          <w:sz w:val="26"/>
          <w:szCs w:val="26"/>
        </w:rPr>
        <w:t xml:space="preserve">Задолженность </w:t>
      </w:r>
      <w:r w:rsidR="00A71394" w:rsidRPr="00A71394">
        <w:rPr>
          <w:rFonts w:ascii="Times New Roman" w:hAnsi="Times New Roman"/>
          <w:sz w:val="26"/>
          <w:szCs w:val="26"/>
        </w:rPr>
        <w:t>по предоставленным муниципальным образованиям автономного округа из бюджета автономного округа бюджетным кредитам по состоянию на 1 января 2021 года</w:t>
      </w:r>
      <w:r w:rsidRPr="00A71394">
        <w:rPr>
          <w:rFonts w:ascii="Times New Roman" w:hAnsi="Times New Roman"/>
          <w:sz w:val="26"/>
          <w:szCs w:val="26"/>
        </w:rPr>
        <w:t xml:space="preserve"> составила </w:t>
      </w:r>
      <w:r w:rsidR="00A71394" w:rsidRPr="00A71394">
        <w:rPr>
          <w:rFonts w:ascii="Times New Roman" w:hAnsi="Times New Roman"/>
          <w:sz w:val="26"/>
          <w:szCs w:val="26"/>
        </w:rPr>
        <w:t>1 078 456 680,38</w:t>
      </w:r>
      <w:r w:rsidRPr="00A71394">
        <w:rPr>
          <w:rFonts w:ascii="Times New Roman" w:hAnsi="Times New Roman"/>
          <w:sz w:val="26"/>
          <w:szCs w:val="26"/>
        </w:rPr>
        <w:t xml:space="preserve"> рублей</w:t>
      </w:r>
      <w:r w:rsidR="00A71394" w:rsidRPr="00A71394">
        <w:rPr>
          <w:rFonts w:ascii="Times New Roman" w:hAnsi="Times New Roman"/>
          <w:sz w:val="26"/>
          <w:szCs w:val="26"/>
        </w:rPr>
        <w:t>. Бюджетные кредиты</w:t>
      </w:r>
      <w:r w:rsidRPr="00A71394">
        <w:rPr>
          <w:rFonts w:ascii="Times New Roman" w:hAnsi="Times New Roman"/>
          <w:sz w:val="26"/>
          <w:szCs w:val="26"/>
        </w:rPr>
        <w:t xml:space="preserve"> </w:t>
      </w:r>
      <w:r w:rsidR="00A71394" w:rsidRPr="00A71394">
        <w:rPr>
          <w:rFonts w:ascii="Times New Roman" w:hAnsi="Times New Roman"/>
          <w:sz w:val="26"/>
          <w:szCs w:val="26"/>
        </w:rPr>
        <w:t>предоставлялись</w:t>
      </w:r>
      <w:r w:rsidRPr="00A71394">
        <w:rPr>
          <w:rFonts w:ascii="Times New Roman" w:hAnsi="Times New Roman"/>
          <w:sz w:val="26"/>
          <w:szCs w:val="26"/>
        </w:rPr>
        <w:t xml:space="preserve"> на частичное покрытие дефицита местных бюджетов и досрочный завоз продукции (товаров) в связи с ограниченными сроками доставки в районы автономного округа.</w:t>
      </w:r>
    </w:p>
    <w:p w:rsidR="00732A19" w:rsidRPr="00A71394" w:rsidRDefault="00732A19" w:rsidP="00375434">
      <w:pPr>
        <w:pStyle w:val="ac"/>
        <w:widowControl w:val="0"/>
        <w:spacing w:after="0" w:line="36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A71394">
        <w:rPr>
          <w:rFonts w:ascii="Times New Roman" w:hAnsi="Times New Roman"/>
          <w:sz w:val="26"/>
          <w:szCs w:val="26"/>
        </w:rPr>
        <w:t xml:space="preserve">По бюджетным кредитам, ранее предоставленным из бюджета автономного округа юридическим лицам, задолженность составляет </w:t>
      </w:r>
      <w:r w:rsidR="00A71394" w:rsidRPr="00A71394">
        <w:rPr>
          <w:rFonts w:ascii="Times New Roman" w:hAnsi="Times New Roman"/>
          <w:sz w:val="26"/>
          <w:szCs w:val="26"/>
        </w:rPr>
        <w:t>212 715 938,75</w:t>
      </w:r>
      <w:r w:rsidRPr="00A71394">
        <w:rPr>
          <w:rFonts w:ascii="Times New Roman" w:hAnsi="Times New Roman"/>
          <w:sz w:val="26"/>
          <w:szCs w:val="26"/>
        </w:rPr>
        <w:t xml:space="preserve"> рублей. </w:t>
      </w:r>
    </w:p>
    <w:p w:rsidR="00273C28" w:rsidRPr="00732A19" w:rsidRDefault="001E79CE" w:rsidP="00375434">
      <w:pPr>
        <w:pStyle w:val="ac"/>
        <w:widowControl w:val="0"/>
        <w:spacing w:after="0" w:line="36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732A19">
        <w:rPr>
          <w:rFonts w:ascii="Times New Roman" w:hAnsi="Times New Roman"/>
          <w:sz w:val="26"/>
          <w:szCs w:val="26"/>
        </w:rPr>
        <w:t xml:space="preserve">Обязательства по государственным гарантиям отсутствуют. </w:t>
      </w:r>
    </w:p>
    <w:p w:rsidR="001E79CE" w:rsidRPr="00273C28" w:rsidRDefault="001E79CE" w:rsidP="00375434">
      <w:pPr>
        <w:pStyle w:val="ac"/>
        <w:widowControl w:val="0"/>
        <w:spacing w:after="0" w:line="36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273C28">
        <w:rPr>
          <w:rFonts w:ascii="Times New Roman" w:hAnsi="Times New Roman"/>
          <w:sz w:val="26"/>
          <w:szCs w:val="26"/>
        </w:rPr>
        <w:t>Просроченные долговые обязательства</w:t>
      </w:r>
      <w:r w:rsidR="00375434">
        <w:rPr>
          <w:rFonts w:ascii="Times New Roman" w:hAnsi="Times New Roman"/>
          <w:sz w:val="26"/>
          <w:szCs w:val="26"/>
        </w:rPr>
        <w:t xml:space="preserve"> по государственным </w:t>
      </w:r>
      <w:r w:rsidRPr="00273C28">
        <w:rPr>
          <w:rFonts w:ascii="Times New Roman" w:hAnsi="Times New Roman"/>
          <w:sz w:val="26"/>
          <w:szCs w:val="26"/>
        </w:rPr>
        <w:t>заимствованиям отсутствуют.</w:t>
      </w:r>
    </w:p>
    <w:p w:rsidR="001E79CE" w:rsidRPr="00732A19" w:rsidRDefault="001E79CE" w:rsidP="00375434">
      <w:pPr>
        <w:pStyle w:val="ac"/>
        <w:widowControl w:val="0"/>
        <w:spacing w:after="0" w:line="360" w:lineRule="auto"/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732A19">
        <w:rPr>
          <w:rFonts w:ascii="Times New Roman" w:hAnsi="Times New Roman"/>
          <w:sz w:val="26"/>
          <w:szCs w:val="26"/>
        </w:rPr>
        <w:t>Консолидированная задолженность по долговым обязательствам автономного округа и муниципальных образований на конец отчетного года в разрезе счетов бюджетного учета отражена в форме 0503372 «Сведения о государственном и муниципальном долге».</w:t>
      </w:r>
    </w:p>
    <w:p w:rsidR="001E79CE" w:rsidRDefault="001E79CE" w:rsidP="00375434">
      <w:pPr>
        <w:autoSpaceDE w:val="0"/>
        <w:autoSpaceDN w:val="0"/>
        <w:adjustRightInd w:val="0"/>
        <w:spacing w:line="360" w:lineRule="auto"/>
        <w:ind w:left="0" w:right="-1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375434">
        <w:rPr>
          <w:rFonts w:ascii="Times New Roman" w:hAnsi="Times New Roman"/>
          <w:i/>
          <w:sz w:val="26"/>
          <w:szCs w:val="26"/>
          <w:lang w:eastAsia="ru-RU"/>
        </w:rPr>
        <w:t xml:space="preserve">Сведения о вложениях в объекты недвижимого имущества, объектах незавершенного строительства </w:t>
      </w:r>
      <w:hyperlink r:id="rId10" w:history="1">
        <w:r w:rsidRPr="00375434">
          <w:rPr>
            <w:rFonts w:ascii="Times New Roman" w:hAnsi="Times New Roman"/>
            <w:i/>
            <w:sz w:val="26"/>
            <w:szCs w:val="26"/>
            <w:lang w:eastAsia="ru-RU"/>
          </w:rPr>
          <w:t>(ф. 0503190)</w:t>
        </w:r>
      </w:hyperlink>
      <w:r w:rsidRPr="00375434">
        <w:rPr>
          <w:rFonts w:ascii="Times New Roman" w:hAnsi="Times New Roman"/>
          <w:sz w:val="26"/>
          <w:szCs w:val="26"/>
          <w:lang w:eastAsia="ru-RU"/>
        </w:rPr>
        <w:t xml:space="preserve"> содержат информацию по объектам капитальных вложений, включающую данные, характеризующие произведенные вложения в объекты недвижимого имущества (ход реализации капитальных вложений (бюджетных инвестиций), сформированные по соответствующим объектам капитальных вложений в бюджетном учете учреждения на соответствующих счетах аналитического учета счета 110611000 «Вложения в основные средства – недвижимое имущество учреждения». </w:t>
      </w:r>
    </w:p>
    <w:p w:rsidR="00D05F57" w:rsidRPr="00D05F57" w:rsidRDefault="008230E9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На конец</w:t>
      </w:r>
      <w:r w:rsidR="001E79CE" w:rsidRPr="008230E9">
        <w:rPr>
          <w:rFonts w:ascii="Times New Roman" w:hAnsi="Times New Roman"/>
          <w:sz w:val="26"/>
          <w:szCs w:val="26"/>
        </w:rPr>
        <w:t xml:space="preserve"> 2020 год</w:t>
      </w:r>
      <w:r>
        <w:rPr>
          <w:rFonts w:ascii="Times New Roman" w:hAnsi="Times New Roman"/>
          <w:sz w:val="26"/>
          <w:szCs w:val="26"/>
        </w:rPr>
        <w:t>а</w:t>
      </w:r>
      <w:r w:rsidR="001E79CE" w:rsidRPr="008230E9">
        <w:rPr>
          <w:rFonts w:ascii="Times New Roman" w:hAnsi="Times New Roman"/>
          <w:sz w:val="26"/>
          <w:szCs w:val="26"/>
        </w:rPr>
        <w:t xml:space="preserve"> объем незавершенного строительства </w:t>
      </w:r>
      <w:r>
        <w:rPr>
          <w:rFonts w:ascii="Times New Roman" w:hAnsi="Times New Roman"/>
          <w:sz w:val="26"/>
          <w:szCs w:val="26"/>
        </w:rPr>
        <w:t xml:space="preserve">увеличился на </w:t>
      </w:r>
      <w:r w:rsidRPr="008230E9">
        <w:rPr>
          <w:rFonts w:ascii="Times New Roman" w:hAnsi="Times New Roman"/>
          <w:sz w:val="26"/>
          <w:szCs w:val="26"/>
        </w:rPr>
        <w:t>376 231 088,08 рублей</w:t>
      </w:r>
      <w:r>
        <w:rPr>
          <w:rFonts w:ascii="Times New Roman" w:hAnsi="Times New Roman"/>
          <w:sz w:val="26"/>
          <w:szCs w:val="26"/>
        </w:rPr>
        <w:t xml:space="preserve"> и </w:t>
      </w:r>
      <w:r w:rsidR="001E79CE" w:rsidRPr="008230E9">
        <w:rPr>
          <w:rFonts w:ascii="Times New Roman" w:hAnsi="Times New Roman"/>
          <w:sz w:val="26"/>
          <w:szCs w:val="26"/>
        </w:rPr>
        <w:t xml:space="preserve">составил </w:t>
      </w:r>
      <w:r w:rsidRPr="008230E9">
        <w:rPr>
          <w:rFonts w:ascii="Times New Roman" w:hAnsi="Times New Roman"/>
          <w:sz w:val="26"/>
          <w:szCs w:val="26"/>
        </w:rPr>
        <w:t>10 522 489 969,28</w:t>
      </w:r>
      <w:r>
        <w:rPr>
          <w:rFonts w:ascii="Times New Roman" w:hAnsi="Times New Roman"/>
          <w:sz w:val="26"/>
          <w:szCs w:val="26"/>
        </w:rPr>
        <w:t xml:space="preserve"> рублей.</w:t>
      </w:r>
      <w:r w:rsidR="00D05F57">
        <w:rPr>
          <w:rFonts w:ascii="Times New Roman" w:hAnsi="Times New Roman"/>
          <w:sz w:val="26"/>
          <w:szCs w:val="26"/>
        </w:rPr>
        <w:t xml:space="preserve"> </w:t>
      </w:r>
      <w:r w:rsidR="00D05F57" w:rsidRPr="00D05F57">
        <w:rPr>
          <w:rFonts w:ascii="Times New Roman" w:hAnsi="Times New Roman"/>
          <w:sz w:val="26"/>
          <w:szCs w:val="26"/>
        </w:rPr>
        <w:t>Увеличение расходов к уровню 2019 года наблюдается по строке 300 «Объекты законченного строительства, введенные в эксплуатацию, не прошедшие государственную регистрацию».</w:t>
      </w:r>
    </w:p>
    <w:p w:rsidR="001E79CE" w:rsidRPr="00710D7B" w:rsidRDefault="001E79CE" w:rsidP="001E79CE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10D7B">
        <w:rPr>
          <w:rFonts w:ascii="Times New Roman" w:hAnsi="Times New Roman"/>
          <w:sz w:val="26"/>
          <w:szCs w:val="26"/>
        </w:rPr>
        <w:t>Отклонение графы 17 «Расходы на реализацию инвестиционного проекта по данным бухгалтерского учета на начало года</w:t>
      </w:r>
      <w:r w:rsidR="00710D7B" w:rsidRPr="00710D7B">
        <w:rPr>
          <w:rFonts w:ascii="Times New Roman" w:hAnsi="Times New Roman"/>
          <w:sz w:val="26"/>
          <w:szCs w:val="26"/>
        </w:rPr>
        <w:t>, фактические (по счету 010611000)</w:t>
      </w:r>
      <w:r w:rsidRPr="00710D7B">
        <w:rPr>
          <w:rFonts w:ascii="Times New Roman" w:hAnsi="Times New Roman"/>
          <w:sz w:val="26"/>
          <w:szCs w:val="26"/>
        </w:rPr>
        <w:t xml:space="preserve">» в 2020 году </w:t>
      </w:r>
      <w:r w:rsidR="00710D7B">
        <w:rPr>
          <w:rFonts w:ascii="Times New Roman" w:hAnsi="Times New Roman"/>
          <w:sz w:val="26"/>
          <w:szCs w:val="26"/>
        </w:rPr>
        <w:t>и</w:t>
      </w:r>
      <w:r w:rsidRPr="00710D7B">
        <w:rPr>
          <w:rFonts w:ascii="Times New Roman" w:hAnsi="Times New Roman"/>
          <w:sz w:val="26"/>
          <w:szCs w:val="26"/>
        </w:rPr>
        <w:t xml:space="preserve"> граф</w:t>
      </w:r>
      <w:r w:rsidR="00710D7B">
        <w:rPr>
          <w:rFonts w:ascii="Times New Roman" w:hAnsi="Times New Roman"/>
          <w:sz w:val="26"/>
          <w:szCs w:val="26"/>
        </w:rPr>
        <w:t>ы</w:t>
      </w:r>
      <w:r w:rsidRPr="00710D7B">
        <w:rPr>
          <w:rFonts w:ascii="Times New Roman" w:hAnsi="Times New Roman"/>
          <w:sz w:val="26"/>
          <w:szCs w:val="26"/>
        </w:rPr>
        <w:t xml:space="preserve"> 20 «Расходы на реализацию инвестиционного проекта по данным бухгалтерского учета на конец года</w:t>
      </w:r>
      <w:r w:rsidR="00710D7B">
        <w:rPr>
          <w:rFonts w:ascii="Times New Roman" w:hAnsi="Times New Roman"/>
          <w:sz w:val="26"/>
          <w:szCs w:val="26"/>
        </w:rPr>
        <w:t xml:space="preserve">, </w:t>
      </w:r>
      <w:r w:rsidR="00710D7B" w:rsidRPr="00710D7B">
        <w:rPr>
          <w:rFonts w:ascii="Times New Roman" w:hAnsi="Times New Roman"/>
          <w:sz w:val="26"/>
          <w:szCs w:val="26"/>
        </w:rPr>
        <w:t>фактические (по счету 010611000)</w:t>
      </w:r>
      <w:r w:rsidRPr="00710D7B">
        <w:rPr>
          <w:rFonts w:ascii="Times New Roman" w:hAnsi="Times New Roman"/>
          <w:sz w:val="26"/>
          <w:szCs w:val="26"/>
        </w:rPr>
        <w:t xml:space="preserve">» </w:t>
      </w:r>
      <w:r w:rsidR="00710D7B">
        <w:rPr>
          <w:rFonts w:ascii="Times New Roman" w:hAnsi="Times New Roman"/>
          <w:sz w:val="26"/>
          <w:szCs w:val="26"/>
        </w:rPr>
        <w:t xml:space="preserve">в </w:t>
      </w:r>
      <w:r w:rsidRPr="00710D7B">
        <w:rPr>
          <w:rFonts w:ascii="Times New Roman" w:hAnsi="Times New Roman"/>
          <w:sz w:val="26"/>
          <w:szCs w:val="26"/>
        </w:rPr>
        <w:t>2019 год</w:t>
      </w:r>
      <w:r w:rsidR="00710D7B">
        <w:rPr>
          <w:rFonts w:ascii="Times New Roman" w:hAnsi="Times New Roman"/>
          <w:sz w:val="26"/>
          <w:szCs w:val="26"/>
        </w:rPr>
        <w:t>у</w:t>
      </w:r>
      <w:r w:rsidRPr="00710D7B">
        <w:rPr>
          <w:rFonts w:ascii="Times New Roman" w:hAnsi="Times New Roman"/>
          <w:sz w:val="26"/>
          <w:szCs w:val="26"/>
        </w:rPr>
        <w:t xml:space="preserve"> обусловлена отображением ошибочно не учтенных расходов в 2019 году на сумму (+)</w:t>
      </w:r>
      <w:r w:rsidR="00710D7B" w:rsidRPr="00710D7B">
        <w:rPr>
          <w:rFonts w:ascii="Times New Roman" w:hAnsi="Times New Roman"/>
          <w:sz w:val="26"/>
          <w:szCs w:val="26"/>
          <w:lang w:eastAsia="ru-RU"/>
        </w:rPr>
        <w:t>319 915 496,97 рублей.</w:t>
      </w:r>
    </w:p>
    <w:p w:rsidR="00D05F57" w:rsidRPr="00D05F57" w:rsidRDefault="00D05F57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5F57">
        <w:rPr>
          <w:rFonts w:ascii="Times New Roman" w:hAnsi="Times New Roman"/>
          <w:sz w:val="26"/>
          <w:szCs w:val="26"/>
        </w:rPr>
        <w:t>На отчетную дату по капитальным вложениям, которым более 10 лет (начало реализации до 2010 года), в отчете содержится 95 объектов, по которым осуществляются (планируются) следующие мероприятия:</w:t>
      </w:r>
    </w:p>
    <w:p w:rsidR="00D05F57" w:rsidRPr="00D05F57" w:rsidRDefault="00D05F57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5F57">
        <w:rPr>
          <w:rFonts w:ascii="Times New Roman" w:hAnsi="Times New Roman"/>
          <w:sz w:val="26"/>
          <w:szCs w:val="26"/>
        </w:rPr>
        <w:t xml:space="preserve">решение вопроса по вводу 23 завершенных строительством объектов в эксплуатацию, </w:t>
      </w:r>
    </w:p>
    <w:p w:rsidR="00D05F57" w:rsidRPr="00D05F57" w:rsidRDefault="00D05F57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5F57">
        <w:rPr>
          <w:rFonts w:ascii="Times New Roman" w:hAnsi="Times New Roman"/>
          <w:sz w:val="26"/>
          <w:szCs w:val="26"/>
        </w:rPr>
        <w:t>продолжение строительства 2 объектов,</w:t>
      </w:r>
    </w:p>
    <w:p w:rsidR="00D05F57" w:rsidRPr="00D05F57" w:rsidRDefault="00D05F57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5F57">
        <w:rPr>
          <w:rFonts w:ascii="Times New Roman" w:hAnsi="Times New Roman"/>
          <w:sz w:val="26"/>
          <w:szCs w:val="26"/>
        </w:rPr>
        <w:t xml:space="preserve">консервация 12 объектов, </w:t>
      </w:r>
    </w:p>
    <w:p w:rsidR="00D05F57" w:rsidRPr="00D05F57" w:rsidRDefault="00D05F57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5F57">
        <w:rPr>
          <w:rFonts w:ascii="Times New Roman" w:hAnsi="Times New Roman"/>
          <w:sz w:val="26"/>
          <w:szCs w:val="26"/>
        </w:rPr>
        <w:t>продажа 11 объектов,</w:t>
      </w:r>
    </w:p>
    <w:p w:rsidR="00D05F57" w:rsidRPr="00D05F57" w:rsidRDefault="00D05F57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5F57">
        <w:rPr>
          <w:rFonts w:ascii="Times New Roman" w:hAnsi="Times New Roman"/>
          <w:sz w:val="26"/>
          <w:szCs w:val="26"/>
        </w:rPr>
        <w:t>передача 5 объектов незавершенного строительства в собственность иным публично-правовым образованиям,</w:t>
      </w:r>
    </w:p>
    <w:p w:rsidR="00D05F57" w:rsidRPr="00D05F57" w:rsidRDefault="00D05F57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5F57">
        <w:rPr>
          <w:rFonts w:ascii="Times New Roman" w:hAnsi="Times New Roman"/>
          <w:sz w:val="26"/>
          <w:szCs w:val="26"/>
        </w:rPr>
        <w:t>принятие 9 объектов незавершенного строительства в государственную (муниципальную) собственность,</w:t>
      </w:r>
    </w:p>
    <w:p w:rsidR="00D05F57" w:rsidRPr="00D05F57" w:rsidRDefault="00D05F57" w:rsidP="00D05F57">
      <w:pPr>
        <w:pStyle w:val="ae"/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05F57">
        <w:rPr>
          <w:rFonts w:ascii="Times New Roman" w:hAnsi="Times New Roman"/>
          <w:sz w:val="26"/>
          <w:szCs w:val="26"/>
        </w:rPr>
        <w:t>целевая функция определяется по 33 объектам.</w:t>
      </w:r>
    </w:p>
    <w:p w:rsidR="001E79CE" w:rsidRPr="00273C28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b/>
          <w:sz w:val="26"/>
          <w:szCs w:val="26"/>
        </w:rPr>
      </w:pPr>
      <w:r w:rsidRPr="00273C28">
        <w:rPr>
          <w:rFonts w:ascii="Times New Roman" w:hAnsi="Times New Roman"/>
          <w:b/>
          <w:sz w:val="26"/>
          <w:szCs w:val="26"/>
        </w:rPr>
        <w:t>Пояснения отдельных показателей форм бюджетной отчетности:</w:t>
      </w:r>
    </w:p>
    <w:p w:rsidR="001E79CE" w:rsidRPr="00273C28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i/>
          <w:sz w:val="26"/>
          <w:szCs w:val="26"/>
        </w:rPr>
      </w:pPr>
      <w:r w:rsidRPr="00273C28">
        <w:rPr>
          <w:rFonts w:ascii="Times New Roman" w:hAnsi="Times New Roman"/>
          <w:i/>
          <w:sz w:val="26"/>
          <w:szCs w:val="26"/>
        </w:rPr>
        <w:t>1. ф. 0503310 «Справка по заключению счетов бюджетного учета отчетного финансового года»:</w:t>
      </w:r>
    </w:p>
    <w:tbl>
      <w:tblPr>
        <w:tblW w:w="93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199"/>
        <w:gridCol w:w="5324"/>
      </w:tblGrid>
      <w:tr w:rsidR="001E79CE" w:rsidRPr="001E79CE" w:rsidTr="00D15B16">
        <w:tc>
          <w:tcPr>
            <w:tcW w:w="1843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Счет</w:t>
            </w:r>
          </w:p>
        </w:tc>
        <w:tc>
          <w:tcPr>
            <w:tcW w:w="2199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5324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Пояснения</w:t>
            </w:r>
          </w:p>
        </w:tc>
      </w:tr>
      <w:tr w:rsidR="001E79CE" w:rsidRPr="001E79CE" w:rsidTr="00D15B16">
        <w:tc>
          <w:tcPr>
            <w:tcW w:w="9366" w:type="dxa"/>
            <w:gridSpan w:val="3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i/>
                <w:sz w:val="26"/>
                <w:szCs w:val="26"/>
              </w:rPr>
              <w:t>показатели превышающие 1 млрд. рублей</w:t>
            </w:r>
          </w:p>
        </w:tc>
      </w:tr>
      <w:tr w:rsidR="001E79CE" w:rsidRPr="001E79CE" w:rsidTr="00D15B16">
        <w:tc>
          <w:tcPr>
            <w:tcW w:w="1843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1 401 10 173</w:t>
            </w:r>
          </w:p>
        </w:tc>
        <w:tc>
          <w:tcPr>
            <w:tcW w:w="2199" w:type="dxa"/>
            <w:shd w:val="clear" w:color="auto" w:fill="auto"/>
          </w:tcPr>
          <w:p w:rsidR="001E79CE" w:rsidRPr="000601EB" w:rsidRDefault="000601EB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1 809 281 508,98</w:t>
            </w:r>
          </w:p>
        </w:tc>
        <w:tc>
          <w:tcPr>
            <w:tcW w:w="5324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 xml:space="preserve">Списание УФНС России задолженности по налогам и сборам, списание задолженности по арендной плате за имущество, списание задолженности неплатежеспособных дебиторов, в том числе по бюджетным кредитам, списание задолженности, </w:t>
            </w:r>
            <w:r w:rsidRPr="000601EB">
              <w:rPr>
                <w:rFonts w:ascii="Times New Roman" w:hAnsi="Times New Roman"/>
                <w:sz w:val="24"/>
                <w:szCs w:val="24"/>
              </w:rPr>
              <w:lastRenderedPageBreak/>
              <w:t>невостребованной кредиторами по доходам</w:t>
            </w:r>
          </w:p>
        </w:tc>
      </w:tr>
      <w:tr w:rsidR="001E79CE" w:rsidRPr="001E79CE" w:rsidTr="00D15B16">
        <w:tc>
          <w:tcPr>
            <w:tcW w:w="1843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lastRenderedPageBreak/>
              <w:t>1 401 10 191</w:t>
            </w:r>
          </w:p>
        </w:tc>
        <w:tc>
          <w:tcPr>
            <w:tcW w:w="2199" w:type="dxa"/>
            <w:shd w:val="clear" w:color="auto" w:fill="auto"/>
          </w:tcPr>
          <w:p w:rsidR="001E79CE" w:rsidRPr="000601EB" w:rsidRDefault="000601EB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1 689 901 250,05</w:t>
            </w:r>
          </w:p>
        </w:tc>
        <w:tc>
          <w:tcPr>
            <w:tcW w:w="5324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Принятие к учету имущества (материальных запасов), поступившего от главных администраторов федеральных средств, иных публично-правовых образований</w:t>
            </w:r>
          </w:p>
        </w:tc>
      </w:tr>
      <w:tr w:rsidR="001E79CE" w:rsidRPr="001E79CE" w:rsidTr="00D15B16">
        <w:tc>
          <w:tcPr>
            <w:tcW w:w="1843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1 401 10 195</w:t>
            </w:r>
          </w:p>
        </w:tc>
        <w:tc>
          <w:tcPr>
            <w:tcW w:w="2199" w:type="dxa"/>
            <w:shd w:val="clear" w:color="auto" w:fill="auto"/>
          </w:tcPr>
          <w:p w:rsidR="001E79CE" w:rsidRPr="000601EB" w:rsidRDefault="000601EB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6 550 529 271,35</w:t>
            </w:r>
          </w:p>
        </w:tc>
        <w:tc>
          <w:tcPr>
            <w:tcW w:w="5324" w:type="dxa"/>
            <w:shd w:val="clear" w:color="auto" w:fill="auto"/>
          </w:tcPr>
          <w:p w:rsidR="001E79CE" w:rsidRPr="000601EB" w:rsidRDefault="001E79CE" w:rsidP="000601EB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Принятие к учету основных средств, поступивших от главных администраторов федеральных средств, иных публичных-правовых образований, государственных учреждений</w:t>
            </w:r>
          </w:p>
        </w:tc>
      </w:tr>
      <w:tr w:rsidR="001E79CE" w:rsidRPr="001E79CE" w:rsidTr="00D15B16">
        <w:tc>
          <w:tcPr>
            <w:tcW w:w="1843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1 401 10 199</w:t>
            </w:r>
          </w:p>
        </w:tc>
        <w:tc>
          <w:tcPr>
            <w:tcW w:w="2199" w:type="dxa"/>
            <w:shd w:val="clear" w:color="auto" w:fill="auto"/>
          </w:tcPr>
          <w:p w:rsidR="001E79CE" w:rsidRPr="000601EB" w:rsidRDefault="000601EB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5 788 281 428,66</w:t>
            </w:r>
          </w:p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4" w:type="dxa"/>
            <w:shd w:val="clear" w:color="auto" w:fill="auto"/>
          </w:tcPr>
          <w:p w:rsidR="001E79CE" w:rsidRPr="000601EB" w:rsidRDefault="001E79CE" w:rsidP="00D15B16">
            <w:pPr>
              <w:widowControl w:val="0"/>
              <w:ind w:left="0" w:right="142"/>
              <w:rPr>
                <w:rFonts w:ascii="Times New Roman" w:hAnsi="Times New Roman"/>
                <w:sz w:val="24"/>
                <w:szCs w:val="24"/>
              </w:rPr>
            </w:pPr>
            <w:r w:rsidRPr="000601EB">
              <w:rPr>
                <w:rFonts w:ascii="Times New Roman" w:hAnsi="Times New Roman"/>
                <w:sz w:val="24"/>
                <w:szCs w:val="24"/>
              </w:rPr>
              <w:t>Принятие к учету земельных участков</w:t>
            </w:r>
          </w:p>
        </w:tc>
      </w:tr>
    </w:tbl>
    <w:p w:rsidR="001E79CE" w:rsidRPr="001E79CE" w:rsidRDefault="001E79CE" w:rsidP="001E79CE">
      <w:pPr>
        <w:widowControl w:val="0"/>
        <w:spacing w:line="360" w:lineRule="auto"/>
        <w:ind w:left="0" w:right="142" w:firstLine="709"/>
        <w:jc w:val="both"/>
        <w:rPr>
          <w:rFonts w:ascii="Times New Roman" w:hAnsi="Times New Roman"/>
          <w:i/>
          <w:color w:val="FF0000"/>
          <w:sz w:val="26"/>
          <w:szCs w:val="26"/>
        </w:rPr>
      </w:pPr>
    </w:p>
    <w:p w:rsidR="001E79CE" w:rsidRPr="00EA7CDD" w:rsidRDefault="000601EB" w:rsidP="001E79CE">
      <w:pPr>
        <w:spacing w:line="360" w:lineRule="auto"/>
        <w:ind w:left="0" w:firstLine="709"/>
        <w:jc w:val="both"/>
        <w:rPr>
          <w:rFonts w:ascii="Times New Roman" w:hAnsi="Times New Roman"/>
          <w:i/>
          <w:sz w:val="26"/>
          <w:szCs w:val="26"/>
        </w:rPr>
      </w:pPr>
      <w:bookmarkStart w:id="5" w:name="_Toc288590621"/>
      <w:r>
        <w:rPr>
          <w:rFonts w:ascii="Times New Roman" w:hAnsi="Times New Roman"/>
          <w:i/>
          <w:sz w:val="26"/>
          <w:szCs w:val="26"/>
          <w:lang w:eastAsia="ru-RU"/>
        </w:rPr>
        <w:t>2</w:t>
      </w:r>
      <w:r w:rsidR="001E79CE" w:rsidRPr="00EA7CDD">
        <w:rPr>
          <w:rFonts w:ascii="Times New Roman" w:hAnsi="Times New Roman"/>
          <w:i/>
          <w:sz w:val="26"/>
          <w:szCs w:val="26"/>
          <w:lang w:eastAsia="ru-RU"/>
        </w:rPr>
        <w:t xml:space="preserve">. </w:t>
      </w:r>
      <w:r w:rsidR="001E79CE" w:rsidRPr="00EA7CDD">
        <w:rPr>
          <w:rFonts w:ascii="Times New Roman" w:hAnsi="Times New Roman"/>
          <w:i/>
          <w:sz w:val="26"/>
          <w:szCs w:val="26"/>
        </w:rPr>
        <w:t>Отклонение в ф.0503317 – показатель по КОСГУ '510','810,'540,'520' должен иметь отрицательное значение или равен нулю (для 510 требуются пояснения):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5"/>
      </w:tblGrid>
      <w:tr w:rsidR="001E79CE" w:rsidRPr="00EA7CDD" w:rsidTr="00273C28">
        <w:tc>
          <w:tcPr>
            <w:tcW w:w="1701" w:type="dxa"/>
            <w:shd w:val="clear" w:color="auto" w:fill="auto"/>
          </w:tcPr>
          <w:p w:rsidR="001E79CE" w:rsidRPr="00EA7CDD" w:rsidRDefault="001E79CE" w:rsidP="00D15B16">
            <w:pPr>
              <w:widowControl w:val="0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EA7CDD">
              <w:rPr>
                <w:rFonts w:ascii="Times New Roman" w:hAnsi="Times New Roman"/>
                <w:sz w:val="24"/>
                <w:szCs w:val="24"/>
              </w:rPr>
              <w:t>Сумма расхождения</w:t>
            </w:r>
          </w:p>
        </w:tc>
        <w:tc>
          <w:tcPr>
            <w:tcW w:w="7655" w:type="dxa"/>
            <w:shd w:val="clear" w:color="auto" w:fill="auto"/>
          </w:tcPr>
          <w:p w:rsidR="001E79CE" w:rsidRPr="00EA7CDD" w:rsidRDefault="001E79CE" w:rsidP="00D15B16">
            <w:pPr>
              <w:widowControl w:val="0"/>
              <w:ind w:right="142"/>
              <w:rPr>
                <w:rFonts w:ascii="Times New Roman" w:hAnsi="Times New Roman"/>
                <w:sz w:val="24"/>
                <w:szCs w:val="24"/>
              </w:rPr>
            </w:pPr>
            <w:r w:rsidRPr="00EA7CDD">
              <w:rPr>
                <w:rFonts w:ascii="Times New Roman" w:hAnsi="Times New Roman"/>
                <w:sz w:val="24"/>
                <w:szCs w:val="24"/>
              </w:rPr>
              <w:t>Причина расхождения</w:t>
            </w:r>
          </w:p>
        </w:tc>
      </w:tr>
      <w:tr w:rsidR="001E79CE" w:rsidRPr="00EA7CDD" w:rsidTr="00273C28">
        <w:trPr>
          <w:trHeight w:val="908"/>
        </w:trPr>
        <w:tc>
          <w:tcPr>
            <w:tcW w:w="1701" w:type="dxa"/>
            <w:shd w:val="clear" w:color="auto" w:fill="auto"/>
            <w:vAlign w:val="center"/>
          </w:tcPr>
          <w:p w:rsidR="001E79CE" w:rsidRPr="00D93F4A" w:rsidRDefault="001E79CE" w:rsidP="00D15B16">
            <w:pPr>
              <w:widowControl w:val="0"/>
              <w:spacing w:line="360" w:lineRule="auto"/>
              <w:ind w:right="142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93F4A">
              <w:rPr>
                <w:rFonts w:ascii="Times New Roman" w:hAnsi="Times New Roman"/>
                <w:b/>
                <w:sz w:val="24"/>
                <w:szCs w:val="24"/>
              </w:rPr>
              <w:t>2 538 242,56</w:t>
            </w:r>
          </w:p>
          <w:p w:rsidR="001E79CE" w:rsidRPr="00EA7CDD" w:rsidRDefault="001E79CE" w:rsidP="00D15B16">
            <w:pPr>
              <w:widowControl w:val="0"/>
              <w:spacing w:line="360" w:lineRule="auto"/>
              <w:ind w:right="142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5" w:type="dxa"/>
            <w:shd w:val="clear" w:color="auto" w:fill="auto"/>
            <w:vAlign w:val="center"/>
          </w:tcPr>
          <w:p w:rsidR="001E79CE" w:rsidRPr="00EA7CDD" w:rsidRDefault="001E79CE" w:rsidP="00D15B16">
            <w:pPr>
              <w:widowControl w:val="0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A7CDD">
              <w:rPr>
                <w:rFonts w:ascii="Times New Roman" w:hAnsi="Times New Roman"/>
                <w:sz w:val="26"/>
                <w:szCs w:val="26"/>
              </w:rPr>
              <w:t>В ф.0503317 раздел 3 «Источники финансирования дефицита бюджета» показатель КИФ 000 01 05 02 01 02 000 510 по графе 18 «исполнено суммы, подлежащие исключению в рамках консолидированного бюджета субъекта РФ и бюджета территориального фонда внебюджетного фонда» имеет положительное значение в связи с возвратом остатка МБТ из бюджета субъекта в бюджет территориального фонда ОМС.</w:t>
            </w:r>
          </w:p>
        </w:tc>
      </w:tr>
    </w:tbl>
    <w:p w:rsidR="001E79CE" w:rsidRPr="00773CC6" w:rsidRDefault="001E79CE" w:rsidP="001E79CE">
      <w:pPr>
        <w:spacing w:line="360" w:lineRule="auto"/>
        <w:ind w:left="0" w:firstLine="426"/>
        <w:jc w:val="both"/>
        <w:rPr>
          <w:rFonts w:ascii="Times New Roman" w:hAnsi="Times New Roman"/>
          <w:i/>
          <w:color w:val="FF0000"/>
          <w:sz w:val="26"/>
          <w:szCs w:val="26"/>
          <w:lang w:eastAsia="ru-RU"/>
        </w:rPr>
      </w:pPr>
    </w:p>
    <w:p w:rsidR="001E79CE" w:rsidRPr="00773CC6" w:rsidRDefault="001E79CE" w:rsidP="001E79CE">
      <w:pPr>
        <w:ind w:firstLine="567"/>
        <w:rPr>
          <w:color w:val="FF0000"/>
          <w:sz w:val="26"/>
          <w:szCs w:val="26"/>
        </w:rPr>
      </w:pPr>
    </w:p>
    <w:p w:rsidR="001E79CE" w:rsidRDefault="001E79CE" w:rsidP="001E79CE">
      <w:pPr>
        <w:pStyle w:val="1"/>
        <w:keepNext w:val="0"/>
        <w:keepLines w:val="0"/>
        <w:widowControl w:val="0"/>
        <w:spacing w:before="0" w:line="360" w:lineRule="auto"/>
        <w:ind w:left="0" w:right="142" w:firstLine="426"/>
        <w:rPr>
          <w:rFonts w:ascii="Times New Roman" w:hAnsi="Times New Roman"/>
          <w:color w:val="FF0000"/>
          <w:sz w:val="26"/>
          <w:szCs w:val="26"/>
        </w:rPr>
      </w:pPr>
    </w:p>
    <w:p w:rsidR="005C55FE" w:rsidRPr="005C55FE" w:rsidRDefault="005C55FE" w:rsidP="005C55FE"/>
    <w:bookmarkEnd w:id="5"/>
    <w:p w:rsidR="001E79CE" w:rsidRPr="00BE6D68" w:rsidRDefault="001E79CE" w:rsidP="001E79CE">
      <w:pPr>
        <w:pStyle w:val="ac"/>
        <w:spacing w:after="0" w:line="36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E6D68">
        <w:rPr>
          <w:rFonts w:ascii="Times New Roman" w:hAnsi="Times New Roman"/>
          <w:sz w:val="26"/>
          <w:szCs w:val="26"/>
        </w:rPr>
        <w:t>Руководитель ______________________________ В.А. Дюдина</w:t>
      </w:r>
    </w:p>
    <w:p w:rsidR="001E79CE" w:rsidRDefault="001E79CE" w:rsidP="001E79CE">
      <w:pPr>
        <w:pStyle w:val="ac"/>
        <w:spacing w:after="0" w:line="276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</w:p>
    <w:p w:rsidR="001E79CE" w:rsidRPr="00BE6D68" w:rsidRDefault="001E79CE" w:rsidP="001E79CE">
      <w:pPr>
        <w:pStyle w:val="ac"/>
        <w:spacing w:after="0" w:line="276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E6D68">
        <w:rPr>
          <w:rFonts w:ascii="Times New Roman" w:hAnsi="Times New Roman"/>
          <w:sz w:val="26"/>
          <w:szCs w:val="26"/>
        </w:rPr>
        <w:t>Главный бухгалтер ______________________________ Т.П. Урсу</w:t>
      </w:r>
    </w:p>
    <w:p w:rsidR="001E79CE" w:rsidRDefault="001E79CE" w:rsidP="001E79CE">
      <w:pPr>
        <w:pStyle w:val="ac"/>
        <w:spacing w:after="0" w:line="276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</w:p>
    <w:p w:rsidR="001E79CE" w:rsidRPr="00BE6D68" w:rsidRDefault="001E79CE" w:rsidP="001E79CE">
      <w:pPr>
        <w:pStyle w:val="ac"/>
        <w:spacing w:after="0" w:line="276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E6D68">
        <w:rPr>
          <w:rFonts w:ascii="Times New Roman" w:hAnsi="Times New Roman"/>
          <w:sz w:val="26"/>
          <w:szCs w:val="26"/>
        </w:rPr>
        <w:t>Руководитель планово-</w:t>
      </w:r>
    </w:p>
    <w:p w:rsidR="001E79CE" w:rsidRDefault="001E79CE" w:rsidP="001E79CE">
      <w:pPr>
        <w:pStyle w:val="ac"/>
        <w:spacing w:after="0" w:line="276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BE6D68">
        <w:rPr>
          <w:rFonts w:ascii="Times New Roman" w:hAnsi="Times New Roman"/>
          <w:sz w:val="26"/>
          <w:szCs w:val="26"/>
        </w:rPr>
        <w:t xml:space="preserve">экономической службы ___________________________ </w:t>
      </w:r>
      <w:r>
        <w:rPr>
          <w:rFonts w:ascii="Times New Roman" w:hAnsi="Times New Roman"/>
          <w:sz w:val="26"/>
          <w:szCs w:val="26"/>
        </w:rPr>
        <w:t>С.М. Попкова</w:t>
      </w:r>
    </w:p>
    <w:p w:rsidR="001E79CE" w:rsidRDefault="001E79CE" w:rsidP="002266C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670B4" w:rsidRDefault="000670B4" w:rsidP="002266C6">
      <w:pPr>
        <w:ind w:firstLine="567"/>
      </w:pPr>
    </w:p>
    <w:sectPr w:rsidR="000670B4" w:rsidSect="000B3ABB">
      <w:footerReference w:type="default" r:id="rId11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F1E" w:rsidRDefault="00650F1E" w:rsidP="000B3ABB">
      <w:r>
        <w:separator/>
      </w:r>
    </w:p>
  </w:endnote>
  <w:endnote w:type="continuationSeparator" w:id="0">
    <w:p w:rsidR="00650F1E" w:rsidRDefault="00650F1E" w:rsidP="000B3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7357545"/>
      <w:docPartObj>
        <w:docPartGallery w:val="Page Numbers (Bottom of Page)"/>
        <w:docPartUnique/>
      </w:docPartObj>
    </w:sdtPr>
    <w:sdtEndPr/>
    <w:sdtContent>
      <w:p w:rsidR="000B3ABB" w:rsidRDefault="000B3AB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88E">
          <w:rPr>
            <w:noProof/>
          </w:rPr>
          <w:t>16</w:t>
        </w:r>
        <w:r>
          <w:fldChar w:fldCharType="end"/>
        </w:r>
      </w:p>
    </w:sdtContent>
  </w:sdt>
  <w:p w:rsidR="000B3ABB" w:rsidRDefault="000B3A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F1E" w:rsidRDefault="00650F1E" w:rsidP="000B3ABB">
      <w:r>
        <w:separator/>
      </w:r>
    </w:p>
  </w:footnote>
  <w:footnote w:type="continuationSeparator" w:id="0">
    <w:p w:rsidR="00650F1E" w:rsidRDefault="00650F1E" w:rsidP="000B3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6C"/>
    <w:rsid w:val="000066BE"/>
    <w:rsid w:val="00010439"/>
    <w:rsid w:val="000141CE"/>
    <w:rsid w:val="00016076"/>
    <w:rsid w:val="00025FED"/>
    <w:rsid w:val="000305F6"/>
    <w:rsid w:val="00032229"/>
    <w:rsid w:val="00043292"/>
    <w:rsid w:val="000443CC"/>
    <w:rsid w:val="00055917"/>
    <w:rsid w:val="000601EB"/>
    <w:rsid w:val="000670B4"/>
    <w:rsid w:val="000A307C"/>
    <w:rsid w:val="000A4D77"/>
    <w:rsid w:val="000B3ABB"/>
    <w:rsid w:val="000C15B2"/>
    <w:rsid w:val="000C7998"/>
    <w:rsid w:val="000E450A"/>
    <w:rsid w:val="000E4840"/>
    <w:rsid w:val="000F31B8"/>
    <w:rsid w:val="000F4611"/>
    <w:rsid w:val="001078A8"/>
    <w:rsid w:val="00146A53"/>
    <w:rsid w:val="0015419D"/>
    <w:rsid w:val="00173669"/>
    <w:rsid w:val="001B58A5"/>
    <w:rsid w:val="001B72FF"/>
    <w:rsid w:val="001C51BA"/>
    <w:rsid w:val="001D2DF4"/>
    <w:rsid w:val="001D3ABC"/>
    <w:rsid w:val="001E79CE"/>
    <w:rsid w:val="00212594"/>
    <w:rsid w:val="00216676"/>
    <w:rsid w:val="00225FC1"/>
    <w:rsid w:val="002266C6"/>
    <w:rsid w:val="002313E9"/>
    <w:rsid w:val="00242CC9"/>
    <w:rsid w:val="00252368"/>
    <w:rsid w:val="00254CB7"/>
    <w:rsid w:val="00264A7D"/>
    <w:rsid w:val="00270887"/>
    <w:rsid w:val="00270F9B"/>
    <w:rsid w:val="00273C28"/>
    <w:rsid w:val="00282F30"/>
    <w:rsid w:val="002C67F2"/>
    <w:rsid w:val="002E5A0D"/>
    <w:rsid w:val="003014EE"/>
    <w:rsid w:val="0030424B"/>
    <w:rsid w:val="00304BAC"/>
    <w:rsid w:val="0034542D"/>
    <w:rsid w:val="00352B5A"/>
    <w:rsid w:val="00355EA1"/>
    <w:rsid w:val="00366C1D"/>
    <w:rsid w:val="003679D7"/>
    <w:rsid w:val="003736CD"/>
    <w:rsid w:val="00375434"/>
    <w:rsid w:val="003A2C8F"/>
    <w:rsid w:val="003A42E1"/>
    <w:rsid w:val="003D3BE2"/>
    <w:rsid w:val="00400A90"/>
    <w:rsid w:val="00440F1F"/>
    <w:rsid w:val="00455C9F"/>
    <w:rsid w:val="00471F58"/>
    <w:rsid w:val="004936D6"/>
    <w:rsid w:val="00493703"/>
    <w:rsid w:val="004D3381"/>
    <w:rsid w:val="004D6C07"/>
    <w:rsid w:val="004F447F"/>
    <w:rsid w:val="0053109A"/>
    <w:rsid w:val="0054197F"/>
    <w:rsid w:val="00556571"/>
    <w:rsid w:val="005602DB"/>
    <w:rsid w:val="00567915"/>
    <w:rsid w:val="00586A50"/>
    <w:rsid w:val="00586B48"/>
    <w:rsid w:val="005A03E9"/>
    <w:rsid w:val="005C55FE"/>
    <w:rsid w:val="005D48AA"/>
    <w:rsid w:val="005E3F85"/>
    <w:rsid w:val="005E4DF1"/>
    <w:rsid w:val="0060755D"/>
    <w:rsid w:val="00613A5B"/>
    <w:rsid w:val="00613CCF"/>
    <w:rsid w:val="00631A7F"/>
    <w:rsid w:val="00650F1E"/>
    <w:rsid w:val="00682468"/>
    <w:rsid w:val="006B0BD5"/>
    <w:rsid w:val="006F34C5"/>
    <w:rsid w:val="00710D7B"/>
    <w:rsid w:val="0072728A"/>
    <w:rsid w:val="00732A19"/>
    <w:rsid w:val="00743992"/>
    <w:rsid w:val="00774070"/>
    <w:rsid w:val="00775D43"/>
    <w:rsid w:val="007C3F43"/>
    <w:rsid w:val="007C75C6"/>
    <w:rsid w:val="00810753"/>
    <w:rsid w:val="00813F9A"/>
    <w:rsid w:val="008230E9"/>
    <w:rsid w:val="00825CEA"/>
    <w:rsid w:val="00855F25"/>
    <w:rsid w:val="0087088E"/>
    <w:rsid w:val="008737F7"/>
    <w:rsid w:val="00887634"/>
    <w:rsid w:val="00893D63"/>
    <w:rsid w:val="008A5F7D"/>
    <w:rsid w:val="008A6114"/>
    <w:rsid w:val="008E0777"/>
    <w:rsid w:val="008E3310"/>
    <w:rsid w:val="00957A8F"/>
    <w:rsid w:val="009A45B3"/>
    <w:rsid w:val="00A05F58"/>
    <w:rsid w:val="00A1206B"/>
    <w:rsid w:val="00A3376D"/>
    <w:rsid w:val="00A67F63"/>
    <w:rsid w:val="00A71394"/>
    <w:rsid w:val="00A7784E"/>
    <w:rsid w:val="00AB61E4"/>
    <w:rsid w:val="00AC378C"/>
    <w:rsid w:val="00AD08BA"/>
    <w:rsid w:val="00B33B6B"/>
    <w:rsid w:val="00B366B3"/>
    <w:rsid w:val="00BA34C8"/>
    <w:rsid w:val="00C443D7"/>
    <w:rsid w:val="00C80D48"/>
    <w:rsid w:val="00CA0E7B"/>
    <w:rsid w:val="00CA6E64"/>
    <w:rsid w:val="00CB3D8F"/>
    <w:rsid w:val="00CC0102"/>
    <w:rsid w:val="00CD2602"/>
    <w:rsid w:val="00CD7C69"/>
    <w:rsid w:val="00D00F78"/>
    <w:rsid w:val="00D05F57"/>
    <w:rsid w:val="00D20F6A"/>
    <w:rsid w:val="00D264CB"/>
    <w:rsid w:val="00D27EE1"/>
    <w:rsid w:val="00D56455"/>
    <w:rsid w:val="00DA501B"/>
    <w:rsid w:val="00DB54ED"/>
    <w:rsid w:val="00DE052F"/>
    <w:rsid w:val="00DE5F88"/>
    <w:rsid w:val="00DF157D"/>
    <w:rsid w:val="00DF2499"/>
    <w:rsid w:val="00E267BA"/>
    <w:rsid w:val="00E33046"/>
    <w:rsid w:val="00E579B1"/>
    <w:rsid w:val="00E71E55"/>
    <w:rsid w:val="00E9768F"/>
    <w:rsid w:val="00EB4145"/>
    <w:rsid w:val="00EB77E5"/>
    <w:rsid w:val="00EC33C4"/>
    <w:rsid w:val="00EE05E6"/>
    <w:rsid w:val="00EE7D8B"/>
    <w:rsid w:val="00F01A45"/>
    <w:rsid w:val="00F20DC4"/>
    <w:rsid w:val="00F2101A"/>
    <w:rsid w:val="00F451DC"/>
    <w:rsid w:val="00F4581D"/>
    <w:rsid w:val="00F6166C"/>
    <w:rsid w:val="00F84666"/>
    <w:rsid w:val="00F971E8"/>
    <w:rsid w:val="00FC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C6964-09B1-4838-810A-409307750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66C"/>
    <w:pPr>
      <w:spacing w:after="0" w:line="240" w:lineRule="auto"/>
      <w:ind w:left="-108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55F25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qFormat/>
    <w:rsid w:val="00F6166C"/>
    <w:pPr>
      <w:spacing w:line="360" w:lineRule="auto"/>
      <w:ind w:left="0" w:firstLine="567"/>
      <w:jc w:val="both"/>
    </w:pPr>
    <w:rPr>
      <w:rFonts w:ascii="Times New Roman" w:hAnsi="Times New Roman"/>
      <w:sz w:val="24"/>
      <w:szCs w:val="24"/>
    </w:rPr>
  </w:style>
  <w:style w:type="paragraph" w:customStyle="1" w:styleId="a4">
    <w:name w:val="Заголовок мой"/>
    <w:basedOn w:val="a3"/>
    <w:qFormat/>
    <w:rsid w:val="00F6166C"/>
    <w:pPr>
      <w:jc w:val="center"/>
    </w:pPr>
    <w:rPr>
      <w:b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616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166C"/>
    <w:rPr>
      <w:rFonts w:ascii="Segoe UI" w:eastAsia="Calibri" w:hAnsi="Segoe UI" w:cs="Segoe UI"/>
      <w:sz w:val="18"/>
      <w:szCs w:val="18"/>
    </w:rPr>
  </w:style>
  <w:style w:type="paragraph" w:styleId="a7">
    <w:name w:val="Normal (Web)"/>
    <w:basedOn w:val="a"/>
    <w:unhideWhenUsed/>
    <w:qFormat/>
    <w:rsid w:val="00613CCF"/>
    <w:pPr>
      <w:spacing w:beforeAutospacing="1" w:after="2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55F2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AC37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8">
    <w:name w:val="Верхний колонтитул Знак"/>
    <w:basedOn w:val="a0"/>
    <w:uiPriority w:val="99"/>
    <w:qFormat/>
    <w:rsid w:val="004D3381"/>
  </w:style>
  <w:style w:type="paragraph" w:styleId="a9">
    <w:name w:val="header"/>
    <w:basedOn w:val="a"/>
    <w:link w:val="11"/>
    <w:uiPriority w:val="99"/>
    <w:unhideWhenUsed/>
    <w:rsid w:val="000B3ABB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basedOn w:val="a0"/>
    <w:link w:val="a9"/>
    <w:uiPriority w:val="99"/>
    <w:rsid w:val="000B3ABB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B3A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B3ABB"/>
    <w:rPr>
      <w:rFonts w:ascii="Calibri" w:eastAsia="Calibri" w:hAnsi="Calibri" w:cs="Times New Roman"/>
    </w:rPr>
  </w:style>
  <w:style w:type="paragraph" w:styleId="ac">
    <w:name w:val="Body Text Indent"/>
    <w:basedOn w:val="a"/>
    <w:link w:val="ad"/>
    <w:unhideWhenUsed/>
    <w:rsid w:val="001E79C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1E79CE"/>
    <w:rPr>
      <w:rFonts w:ascii="Calibri" w:eastAsia="Calibri" w:hAnsi="Calibri" w:cs="Times New Roman"/>
    </w:rPr>
  </w:style>
  <w:style w:type="paragraph" w:styleId="ae">
    <w:name w:val="No Spacing"/>
    <w:uiPriority w:val="1"/>
    <w:qFormat/>
    <w:rsid w:val="001E79C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Основной текст_"/>
    <w:link w:val="2"/>
    <w:rsid w:val="001E79C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"/>
    <w:rsid w:val="001E79CE"/>
    <w:pPr>
      <w:widowControl w:val="0"/>
      <w:shd w:val="clear" w:color="auto" w:fill="FFFFFF"/>
      <w:spacing w:line="322" w:lineRule="exact"/>
      <w:ind w:left="0"/>
    </w:pPr>
    <w:rPr>
      <w:rFonts w:asciiTheme="minorHAnsi" w:eastAsiaTheme="minorHAnsi" w:hAnsiTheme="minorHAnsi" w:cstheme="minorBidi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9F22C83736ABEAE9A677D22DD8310AC7D09E1B40EF49204356C7EDBEA83DF17710597924B4DB6BF6E1A1C011D4l4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B9F22C83736ABEAE9A677D22DD8310AC7D0981A46EA49204356C7EDBEA83DF17710597924B4DB6BF6E1A1C011D4l4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A8B3A89117FBABA53C183111CAE985C0C553C66BC0255F01CC8D0E2164D93BBE77CBABF752CvAU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2B9BF0345CCFAA210A82B2B2304430DD71B285B9A925744E95D6C0CAACC0CE4FC06DA3C02B9E0FA7379AAF149387FFE01D4F27A59ADRB4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A6BFF-9EA5-4ADC-8DDF-62F358188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2329</TotalTime>
  <Pages>16</Pages>
  <Words>4672</Words>
  <Characters>26636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Тафратова Алёна Ивановна</cp:lastModifiedBy>
  <cp:revision>30</cp:revision>
  <cp:lastPrinted>2021-04-14T07:11:00Z</cp:lastPrinted>
  <dcterms:created xsi:type="dcterms:W3CDTF">2021-04-10T06:16:00Z</dcterms:created>
  <dcterms:modified xsi:type="dcterms:W3CDTF">2021-04-20T06:37:00Z</dcterms:modified>
</cp:coreProperties>
</file>